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B0C" w:rsidRPr="00BA20B4" w:rsidRDefault="005A5B0C" w:rsidP="005A5B0C">
      <w:pPr>
        <w:jc w:val="both"/>
        <w:rPr>
          <w:rFonts w:ascii="Times New Roman" w:hAnsi="Times New Roman" w:cs="Arial"/>
          <w:sz w:val="36"/>
          <w:szCs w:val="36"/>
        </w:rPr>
      </w:pPr>
    </w:p>
    <w:p w:rsidR="005A5B0C" w:rsidRPr="00BA20B4" w:rsidRDefault="005A5B0C" w:rsidP="005A5B0C">
      <w:pPr>
        <w:jc w:val="center"/>
        <w:rPr>
          <w:rFonts w:ascii="Times New Roman" w:hAnsi="Times New Roman" w:cs="Arial"/>
          <w:sz w:val="36"/>
          <w:szCs w:val="36"/>
          <w:lang w:val="es-ES"/>
        </w:rPr>
      </w:pPr>
    </w:p>
    <w:p w:rsidR="005A5B0C" w:rsidRPr="00BA20B4" w:rsidRDefault="005A5B0C" w:rsidP="005A5B0C">
      <w:pPr>
        <w:jc w:val="center"/>
        <w:rPr>
          <w:rFonts w:ascii="Times New Roman" w:hAnsi="Times New Roman" w:cs="Arial"/>
          <w:sz w:val="36"/>
          <w:szCs w:val="36"/>
          <w:lang w:val="es-ES"/>
        </w:rPr>
      </w:pPr>
    </w:p>
    <w:p w:rsidR="005A5B0C" w:rsidRPr="00BA20B4" w:rsidRDefault="005A5B0C" w:rsidP="005A5B0C">
      <w:pPr>
        <w:jc w:val="center"/>
        <w:rPr>
          <w:rFonts w:ascii="Times New Roman" w:hAnsi="Times New Roman" w:cs="Arial"/>
          <w:sz w:val="36"/>
          <w:szCs w:val="36"/>
          <w:lang w:val="es-ES"/>
        </w:rPr>
      </w:pPr>
      <w:r w:rsidRPr="00BA20B4">
        <w:rPr>
          <w:rFonts w:ascii="Times New Roman" w:hAnsi="Times New Roman" w:cs="Arial"/>
          <w:sz w:val="36"/>
          <w:szCs w:val="36"/>
          <w:lang w:val="es-ES"/>
        </w:rPr>
        <w:t>SECRETARÍA DE EDUCACIÓN D</w:t>
      </w:r>
      <w:r w:rsidR="0015506C">
        <w:rPr>
          <w:rFonts w:ascii="Times New Roman" w:hAnsi="Times New Roman" w:cs="Arial"/>
          <w:sz w:val="36"/>
          <w:szCs w:val="36"/>
          <w:lang w:val="es-ES"/>
        </w:rPr>
        <w:t>E BOGOTÁ</w:t>
      </w:r>
    </w:p>
    <w:p w:rsidR="005A5B0C" w:rsidRPr="00BA20B4" w:rsidRDefault="005A5B0C" w:rsidP="005A5B0C">
      <w:pPr>
        <w:jc w:val="center"/>
        <w:rPr>
          <w:rFonts w:ascii="Times New Roman" w:hAnsi="Times New Roman" w:cs="Arial"/>
          <w:sz w:val="36"/>
          <w:szCs w:val="36"/>
          <w:lang w:val="es-ES"/>
        </w:rPr>
      </w:pPr>
    </w:p>
    <w:p w:rsidR="005A5B0C" w:rsidRPr="00BA20B4" w:rsidRDefault="005A5B0C" w:rsidP="005A5B0C">
      <w:pPr>
        <w:jc w:val="center"/>
        <w:rPr>
          <w:rFonts w:ascii="Times New Roman" w:hAnsi="Times New Roman" w:cs="Arial"/>
          <w:sz w:val="36"/>
          <w:szCs w:val="36"/>
          <w:lang w:val="es-ES"/>
        </w:rPr>
      </w:pPr>
    </w:p>
    <w:p w:rsidR="005A5B0C" w:rsidRPr="00BA20B4" w:rsidRDefault="005A5B0C" w:rsidP="005A5B0C">
      <w:pPr>
        <w:jc w:val="center"/>
        <w:rPr>
          <w:rFonts w:ascii="Times New Roman" w:hAnsi="Times New Roman" w:cs="Arial"/>
          <w:sz w:val="36"/>
          <w:szCs w:val="36"/>
          <w:lang w:val="es-ES"/>
        </w:rPr>
      </w:pPr>
    </w:p>
    <w:p w:rsidR="005A5B0C" w:rsidRPr="00BA20B4" w:rsidRDefault="005A5B0C" w:rsidP="005A5B0C">
      <w:pPr>
        <w:jc w:val="center"/>
        <w:rPr>
          <w:rFonts w:ascii="Times New Roman" w:hAnsi="Times New Roman" w:cs="Arial"/>
          <w:sz w:val="36"/>
          <w:szCs w:val="36"/>
          <w:lang w:val="es-ES"/>
        </w:rPr>
      </w:pPr>
    </w:p>
    <w:p w:rsidR="00AC5AAA" w:rsidRPr="00BA20B4" w:rsidRDefault="00AC5AAA" w:rsidP="00AC5AAA">
      <w:pPr>
        <w:rPr>
          <w:rFonts w:ascii="Times New Roman" w:hAnsi="Times New Roman" w:cs="Arial"/>
          <w:sz w:val="36"/>
          <w:szCs w:val="36"/>
          <w:lang w:val="es-ES"/>
        </w:rPr>
      </w:pPr>
    </w:p>
    <w:p w:rsidR="005A5B0C" w:rsidRDefault="005A5B0C" w:rsidP="005A5B0C">
      <w:pPr>
        <w:jc w:val="center"/>
        <w:rPr>
          <w:rFonts w:ascii="Times New Roman" w:hAnsi="Times New Roman" w:cs="Arial"/>
          <w:sz w:val="36"/>
          <w:szCs w:val="36"/>
          <w:lang w:val="es-ES"/>
        </w:rPr>
      </w:pPr>
    </w:p>
    <w:p w:rsidR="0015506C" w:rsidRDefault="0015506C" w:rsidP="005A5B0C">
      <w:pPr>
        <w:jc w:val="center"/>
        <w:rPr>
          <w:rFonts w:ascii="Times New Roman" w:hAnsi="Times New Roman" w:cs="Arial"/>
          <w:sz w:val="36"/>
          <w:szCs w:val="36"/>
          <w:lang w:val="es-ES"/>
        </w:rPr>
      </w:pPr>
    </w:p>
    <w:p w:rsidR="0015506C" w:rsidRPr="00BA20B4" w:rsidRDefault="0015506C" w:rsidP="005A5B0C">
      <w:pPr>
        <w:jc w:val="center"/>
        <w:rPr>
          <w:rFonts w:ascii="Times New Roman" w:hAnsi="Times New Roman" w:cs="Arial"/>
          <w:sz w:val="36"/>
          <w:szCs w:val="36"/>
          <w:lang w:val="es-ES"/>
        </w:rPr>
      </w:pPr>
    </w:p>
    <w:p w:rsidR="005A5B0C" w:rsidRPr="00BA20B4" w:rsidRDefault="005A5B0C" w:rsidP="005A5B0C">
      <w:pPr>
        <w:jc w:val="center"/>
        <w:rPr>
          <w:rFonts w:ascii="Times New Roman" w:hAnsi="Times New Roman" w:cs="Arial"/>
          <w:sz w:val="36"/>
          <w:szCs w:val="36"/>
          <w:lang w:val="es-ES"/>
        </w:rPr>
      </w:pPr>
    </w:p>
    <w:p w:rsidR="00722944" w:rsidRDefault="00540A96" w:rsidP="005A5B0C">
      <w:pPr>
        <w:jc w:val="center"/>
        <w:rPr>
          <w:rFonts w:ascii="Times New Roman" w:hAnsi="Times New Roman" w:cs="Arial"/>
          <w:sz w:val="48"/>
          <w:szCs w:val="36"/>
          <w:u w:val="single"/>
          <w:lang w:val="es-ES"/>
        </w:rPr>
      </w:pPr>
      <w:r w:rsidRPr="00540A96">
        <w:rPr>
          <w:rFonts w:ascii="Times New Roman" w:hAnsi="Times New Roman" w:cs="Arial"/>
          <w:sz w:val="48"/>
          <w:szCs w:val="36"/>
          <w:u w:val="single"/>
          <w:lang w:val="es-ES"/>
        </w:rPr>
        <w:t xml:space="preserve">BASES PARA EL </w:t>
      </w:r>
      <w:r w:rsidR="005A5B0C" w:rsidRPr="00540A96">
        <w:rPr>
          <w:rFonts w:ascii="Times New Roman" w:hAnsi="Times New Roman" w:cs="Arial"/>
          <w:sz w:val="48"/>
          <w:szCs w:val="36"/>
          <w:u w:val="single"/>
          <w:lang w:val="es-ES"/>
        </w:rPr>
        <w:t>P</w:t>
      </w:r>
      <w:r w:rsidR="005A5B0C" w:rsidRPr="00BA20B4">
        <w:rPr>
          <w:rFonts w:ascii="Times New Roman" w:hAnsi="Times New Roman" w:cs="Arial"/>
          <w:sz w:val="48"/>
          <w:szCs w:val="36"/>
          <w:u w:val="single"/>
          <w:lang w:val="es-ES"/>
        </w:rPr>
        <w:t>LAN SECTORIAL DE EDUCACIÓN</w:t>
      </w:r>
    </w:p>
    <w:p w:rsidR="004E2466" w:rsidRPr="00BA20B4" w:rsidRDefault="004E2466" w:rsidP="004E2466">
      <w:pPr>
        <w:jc w:val="center"/>
        <w:rPr>
          <w:rFonts w:ascii="Times New Roman" w:hAnsi="Times New Roman" w:cs="Arial"/>
          <w:sz w:val="36"/>
          <w:szCs w:val="36"/>
          <w:lang w:val="es-ES"/>
        </w:rPr>
      </w:pPr>
      <w:r w:rsidRPr="00BA20B4">
        <w:rPr>
          <w:rFonts w:ascii="Times New Roman" w:hAnsi="Times New Roman" w:cs="Arial"/>
          <w:sz w:val="36"/>
          <w:szCs w:val="36"/>
          <w:lang w:val="es-ES"/>
        </w:rPr>
        <w:t>2012-2016</w:t>
      </w:r>
    </w:p>
    <w:p w:rsidR="004E2466" w:rsidRDefault="004E2466" w:rsidP="005A5B0C">
      <w:pPr>
        <w:jc w:val="center"/>
        <w:rPr>
          <w:rFonts w:ascii="Times New Roman" w:hAnsi="Times New Roman" w:cs="Arial"/>
          <w:sz w:val="48"/>
          <w:szCs w:val="36"/>
          <w:u w:val="single"/>
          <w:lang w:val="es-ES"/>
        </w:rPr>
      </w:pPr>
    </w:p>
    <w:p w:rsidR="004E2466" w:rsidRPr="00BA20B4" w:rsidRDefault="004E2466" w:rsidP="005A5B0C">
      <w:pPr>
        <w:jc w:val="center"/>
        <w:rPr>
          <w:rFonts w:ascii="Times New Roman" w:hAnsi="Times New Roman" w:cs="Arial"/>
          <w:sz w:val="48"/>
          <w:szCs w:val="36"/>
          <w:u w:val="single"/>
          <w:lang w:val="es-ES"/>
        </w:rPr>
      </w:pPr>
      <w:r>
        <w:rPr>
          <w:rFonts w:ascii="Times New Roman" w:hAnsi="Times New Roman" w:cs="Arial"/>
          <w:sz w:val="48"/>
          <w:szCs w:val="36"/>
          <w:u w:val="single"/>
          <w:lang w:val="es-ES"/>
        </w:rPr>
        <w:t>Calidad para todos y todas</w:t>
      </w:r>
    </w:p>
    <w:p w:rsidR="005A5B0C" w:rsidRPr="00BA20B4" w:rsidRDefault="005A5B0C" w:rsidP="005A5B0C">
      <w:pPr>
        <w:jc w:val="center"/>
        <w:rPr>
          <w:rFonts w:ascii="Times New Roman" w:hAnsi="Times New Roman" w:cs="Arial"/>
          <w:sz w:val="36"/>
          <w:szCs w:val="36"/>
          <w:lang w:val="es-ES"/>
        </w:rPr>
      </w:pPr>
    </w:p>
    <w:p w:rsidR="00B838B9" w:rsidRPr="00BA20B4" w:rsidRDefault="00B838B9" w:rsidP="005A5B0C">
      <w:pPr>
        <w:jc w:val="center"/>
        <w:rPr>
          <w:rFonts w:ascii="Times New Roman" w:hAnsi="Times New Roman" w:cs="Arial"/>
          <w:sz w:val="36"/>
          <w:szCs w:val="36"/>
          <w:lang w:val="es-ES"/>
        </w:rPr>
      </w:pPr>
    </w:p>
    <w:p w:rsidR="005A5B0C" w:rsidRPr="00BA20B4" w:rsidRDefault="005A5B0C" w:rsidP="005A5B0C">
      <w:pPr>
        <w:jc w:val="center"/>
        <w:rPr>
          <w:rFonts w:ascii="Times New Roman" w:hAnsi="Times New Roman" w:cs="Arial"/>
          <w:sz w:val="36"/>
          <w:szCs w:val="36"/>
          <w:lang w:val="es-ES"/>
        </w:rPr>
      </w:pPr>
    </w:p>
    <w:p w:rsidR="00182540" w:rsidRPr="00BA20B4" w:rsidRDefault="00182540" w:rsidP="005A5B0C">
      <w:pPr>
        <w:jc w:val="center"/>
        <w:rPr>
          <w:rFonts w:ascii="Times New Roman" w:hAnsi="Times New Roman" w:cs="Arial"/>
          <w:sz w:val="36"/>
          <w:szCs w:val="36"/>
          <w:lang w:val="es-ES"/>
        </w:rPr>
      </w:pPr>
    </w:p>
    <w:p w:rsidR="00182540" w:rsidRDefault="00182540" w:rsidP="005A5B0C">
      <w:pPr>
        <w:jc w:val="center"/>
        <w:rPr>
          <w:rFonts w:ascii="Times New Roman" w:hAnsi="Times New Roman" w:cs="Arial"/>
          <w:sz w:val="36"/>
          <w:szCs w:val="36"/>
          <w:lang w:val="es-ES"/>
        </w:rPr>
      </w:pPr>
    </w:p>
    <w:p w:rsidR="0015506C" w:rsidRDefault="0015506C" w:rsidP="005A5B0C">
      <w:pPr>
        <w:jc w:val="center"/>
        <w:rPr>
          <w:rFonts w:ascii="Times New Roman" w:hAnsi="Times New Roman" w:cs="Arial"/>
          <w:sz w:val="36"/>
          <w:szCs w:val="36"/>
          <w:lang w:val="es-ES"/>
        </w:rPr>
      </w:pPr>
    </w:p>
    <w:p w:rsidR="0015506C" w:rsidRPr="00BA20B4" w:rsidRDefault="0015506C" w:rsidP="005A5B0C">
      <w:pPr>
        <w:jc w:val="center"/>
        <w:rPr>
          <w:rFonts w:ascii="Times New Roman" w:hAnsi="Times New Roman" w:cs="Arial"/>
          <w:sz w:val="36"/>
          <w:szCs w:val="36"/>
          <w:lang w:val="es-ES"/>
        </w:rPr>
      </w:pPr>
    </w:p>
    <w:p w:rsidR="00AC5AAA" w:rsidRPr="00BA20B4" w:rsidRDefault="00AC5AAA" w:rsidP="00AC5AAA">
      <w:pPr>
        <w:rPr>
          <w:rFonts w:ascii="Times New Roman" w:hAnsi="Times New Roman" w:cs="Arial"/>
          <w:sz w:val="36"/>
          <w:szCs w:val="36"/>
          <w:lang w:val="es-ES"/>
        </w:rPr>
      </w:pPr>
    </w:p>
    <w:p w:rsidR="005A5B0C" w:rsidRPr="00BA20B4" w:rsidRDefault="005A5B0C" w:rsidP="00023112">
      <w:pPr>
        <w:jc w:val="center"/>
        <w:rPr>
          <w:rFonts w:ascii="Times New Roman" w:hAnsi="Times New Roman" w:cs="Arial"/>
          <w:sz w:val="36"/>
          <w:szCs w:val="36"/>
          <w:lang w:val="es-ES"/>
        </w:rPr>
      </w:pPr>
      <w:r w:rsidRPr="00BA20B4">
        <w:rPr>
          <w:rFonts w:ascii="Times New Roman" w:hAnsi="Times New Roman" w:cs="Arial"/>
          <w:sz w:val="36"/>
          <w:szCs w:val="36"/>
          <w:lang w:val="es-ES"/>
        </w:rPr>
        <w:t>Bogotá</w:t>
      </w:r>
      <w:r w:rsidR="00540A96">
        <w:rPr>
          <w:rFonts w:ascii="Times New Roman" w:hAnsi="Times New Roman" w:cs="Arial"/>
          <w:sz w:val="36"/>
          <w:szCs w:val="36"/>
          <w:lang w:val="es-ES"/>
        </w:rPr>
        <w:t xml:space="preserve">, </w:t>
      </w:r>
      <w:r w:rsidR="00D55FF0">
        <w:rPr>
          <w:rFonts w:ascii="Times New Roman" w:hAnsi="Times New Roman" w:cs="Arial"/>
          <w:sz w:val="36"/>
          <w:szCs w:val="36"/>
          <w:lang w:val="es-ES"/>
        </w:rPr>
        <w:t xml:space="preserve">octubre de </w:t>
      </w:r>
      <w:r w:rsidR="00540A96">
        <w:rPr>
          <w:rFonts w:ascii="Times New Roman" w:hAnsi="Times New Roman" w:cs="Arial"/>
          <w:sz w:val="36"/>
          <w:szCs w:val="36"/>
          <w:lang w:val="es-ES"/>
        </w:rPr>
        <w:t>2012</w:t>
      </w:r>
    </w:p>
    <w:p w:rsidR="005A5B0C" w:rsidRPr="00BA20B4" w:rsidRDefault="005A5B0C" w:rsidP="005A5B0C">
      <w:pPr>
        <w:jc w:val="center"/>
        <w:rPr>
          <w:rFonts w:ascii="Times New Roman" w:hAnsi="Times New Roman" w:cs="Arial"/>
          <w:sz w:val="36"/>
          <w:szCs w:val="36"/>
          <w:lang w:val="es-ES"/>
        </w:rPr>
      </w:pPr>
    </w:p>
    <w:p w:rsidR="005A5B0C" w:rsidRPr="00BA20B4" w:rsidRDefault="005A5B0C" w:rsidP="00F856B3">
      <w:pPr>
        <w:jc w:val="center"/>
        <w:rPr>
          <w:rFonts w:ascii="Times New Roman" w:hAnsi="Times New Roman" w:cs="Arial"/>
          <w:sz w:val="36"/>
          <w:szCs w:val="36"/>
          <w:lang w:val="es-ES"/>
        </w:rPr>
      </w:pPr>
      <w:r w:rsidRPr="00BA20B4">
        <w:rPr>
          <w:rFonts w:ascii="Times New Roman" w:hAnsi="Times New Roman" w:cs="Arial"/>
          <w:sz w:val="36"/>
          <w:szCs w:val="36"/>
          <w:lang w:val="es-ES"/>
        </w:rPr>
        <w:br w:type="page"/>
      </w:r>
      <w:r w:rsidRPr="00BA20B4">
        <w:rPr>
          <w:rFonts w:ascii="Times New Roman" w:hAnsi="Times New Roman" w:cs="Arial"/>
          <w:sz w:val="36"/>
          <w:szCs w:val="36"/>
          <w:lang w:val="es-ES"/>
        </w:rPr>
        <w:lastRenderedPageBreak/>
        <w:t>Tabla de Contenido</w:t>
      </w:r>
    </w:p>
    <w:p w:rsidR="005A5B0C" w:rsidRPr="00BA20B4" w:rsidRDefault="005A5B0C" w:rsidP="005A5B0C">
      <w:pPr>
        <w:jc w:val="both"/>
        <w:rPr>
          <w:rFonts w:ascii="Times New Roman" w:hAnsi="Times New Roman" w:cs="Arial"/>
          <w:lang w:val="es-ES"/>
        </w:rPr>
      </w:pPr>
    </w:p>
    <w:p w:rsidR="000D3EF6" w:rsidRDefault="000C7319">
      <w:pPr>
        <w:pStyle w:val="TDC1"/>
        <w:tabs>
          <w:tab w:val="right" w:leader="dot" w:pos="8828"/>
        </w:tabs>
        <w:rPr>
          <w:b w:val="0"/>
          <w:noProof/>
          <w:sz w:val="22"/>
          <w:szCs w:val="22"/>
          <w:lang w:val="es-ES" w:eastAsia="es-ES"/>
        </w:rPr>
      </w:pPr>
      <w:r w:rsidRPr="00727464">
        <w:rPr>
          <w:rFonts w:ascii="Times New Roman" w:hAnsi="Times New Roman" w:cs="Arial"/>
          <w:sz w:val="22"/>
          <w:szCs w:val="22"/>
          <w:lang w:val="es-ES"/>
        </w:rPr>
        <w:fldChar w:fldCharType="begin"/>
      </w:r>
      <w:r w:rsidR="00955B2A" w:rsidRPr="00727464">
        <w:rPr>
          <w:rFonts w:ascii="Times New Roman" w:hAnsi="Times New Roman" w:cs="Arial"/>
          <w:sz w:val="22"/>
          <w:szCs w:val="22"/>
          <w:lang w:val="es-ES"/>
        </w:rPr>
        <w:instrText>TOC</w:instrText>
      </w:r>
      <w:r w:rsidR="005A5B0C" w:rsidRPr="00727464">
        <w:rPr>
          <w:rFonts w:ascii="Times New Roman" w:hAnsi="Times New Roman" w:cs="Arial"/>
          <w:sz w:val="22"/>
          <w:szCs w:val="22"/>
          <w:lang w:val="es-ES"/>
        </w:rPr>
        <w:instrText xml:space="preserve"> \o "1-3" </w:instrText>
      </w:r>
      <w:r w:rsidRPr="00727464">
        <w:rPr>
          <w:rFonts w:ascii="Times New Roman" w:hAnsi="Times New Roman" w:cs="Arial"/>
          <w:sz w:val="22"/>
          <w:szCs w:val="22"/>
          <w:lang w:val="es-ES"/>
        </w:rPr>
        <w:fldChar w:fldCharType="separate"/>
      </w:r>
      <w:r w:rsidR="000D3EF6" w:rsidRPr="0021399E">
        <w:rPr>
          <w:rFonts w:ascii="Times New Roman" w:hAnsi="Times New Roman"/>
          <w:noProof/>
        </w:rPr>
        <w:t>PRESENTACIÓN</w:t>
      </w:r>
      <w:r w:rsidR="000D3EF6">
        <w:rPr>
          <w:noProof/>
        </w:rPr>
        <w:tab/>
      </w:r>
      <w:r w:rsidR="000D3EF6">
        <w:rPr>
          <w:noProof/>
        </w:rPr>
        <w:fldChar w:fldCharType="begin"/>
      </w:r>
      <w:r w:rsidR="000D3EF6">
        <w:rPr>
          <w:noProof/>
        </w:rPr>
        <w:instrText xml:space="preserve"> PAGEREF _Toc362358030 \h </w:instrText>
      </w:r>
      <w:r w:rsidR="000D3EF6">
        <w:rPr>
          <w:noProof/>
        </w:rPr>
      </w:r>
      <w:r w:rsidR="000D3EF6">
        <w:rPr>
          <w:noProof/>
        </w:rPr>
        <w:fldChar w:fldCharType="separate"/>
      </w:r>
      <w:r w:rsidR="006A1245">
        <w:rPr>
          <w:noProof/>
        </w:rPr>
        <w:t>2</w:t>
      </w:r>
      <w:r w:rsidR="000D3EF6">
        <w:rPr>
          <w:noProof/>
        </w:rPr>
        <w:fldChar w:fldCharType="end"/>
      </w:r>
    </w:p>
    <w:p w:rsidR="000D3EF6" w:rsidRDefault="000D3EF6">
      <w:pPr>
        <w:pStyle w:val="TDC1"/>
        <w:tabs>
          <w:tab w:val="right" w:leader="dot" w:pos="8828"/>
        </w:tabs>
        <w:rPr>
          <w:b w:val="0"/>
          <w:noProof/>
          <w:sz w:val="22"/>
          <w:szCs w:val="22"/>
          <w:lang w:val="es-ES" w:eastAsia="es-ES"/>
        </w:rPr>
      </w:pPr>
      <w:r w:rsidRPr="0021399E">
        <w:rPr>
          <w:rFonts w:ascii="Times New Roman" w:hAnsi="Times New Roman"/>
          <w:noProof/>
        </w:rPr>
        <w:t>1. MARCO CONCEPTUAL Y NORMATIVO</w:t>
      </w:r>
      <w:r>
        <w:rPr>
          <w:noProof/>
        </w:rPr>
        <w:tab/>
      </w:r>
      <w:r>
        <w:rPr>
          <w:noProof/>
        </w:rPr>
        <w:fldChar w:fldCharType="begin"/>
      </w:r>
      <w:r>
        <w:rPr>
          <w:noProof/>
        </w:rPr>
        <w:instrText xml:space="preserve"> PAGEREF _Toc362358031 \h </w:instrText>
      </w:r>
      <w:r>
        <w:rPr>
          <w:noProof/>
        </w:rPr>
      </w:r>
      <w:r>
        <w:rPr>
          <w:noProof/>
        </w:rPr>
        <w:fldChar w:fldCharType="separate"/>
      </w:r>
      <w:r w:rsidR="006A1245">
        <w:rPr>
          <w:noProof/>
        </w:rPr>
        <w:t>7</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1.1. Equidad con calidad de la educación: excelencia académica y formación integral para una vida plena</w:t>
      </w:r>
      <w:r>
        <w:rPr>
          <w:noProof/>
        </w:rPr>
        <w:tab/>
      </w:r>
      <w:r>
        <w:rPr>
          <w:noProof/>
        </w:rPr>
        <w:fldChar w:fldCharType="begin"/>
      </w:r>
      <w:r>
        <w:rPr>
          <w:noProof/>
        </w:rPr>
        <w:instrText xml:space="preserve"> PAGEREF _Toc362358032 \h </w:instrText>
      </w:r>
      <w:r>
        <w:rPr>
          <w:noProof/>
        </w:rPr>
      </w:r>
      <w:r>
        <w:rPr>
          <w:noProof/>
        </w:rPr>
        <w:fldChar w:fldCharType="separate"/>
      </w:r>
      <w:r w:rsidR="006A1245">
        <w:rPr>
          <w:noProof/>
        </w:rPr>
        <w:t>7</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1.2. El derecho a la educación en Colombia</w:t>
      </w:r>
      <w:r>
        <w:rPr>
          <w:noProof/>
        </w:rPr>
        <w:tab/>
      </w:r>
      <w:r>
        <w:rPr>
          <w:noProof/>
        </w:rPr>
        <w:fldChar w:fldCharType="begin"/>
      </w:r>
      <w:r>
        <w:rPr>
          <w:noProof/>
        </w:rPr>
        <w:instrText xml:space="preserve"> PAGEREF _Toc362358033 \h </w:instrText>
      </w:r>
      <w:r>
        <w:rPr>
          <w:noProof/>
        </w:rPr>
      </w:r>
      <w:r>
        <w:rPr>
          <w:noProof/>
        </w:rPr>
        <w:fldChar w:fldCharType="separate"/>
      </w:r>
      <w:r w:rsidR="006A1245">
        <w:rPr>
          <w:noProof/>
        </w:rPr>
        <w:t>12</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1.3. Las dimensiones de la educación y del servicio educativo</w:t>
      </w:r>
      <w:r>
        <w:rPr>
          <w:noProof/>
        </w:rPr>
        <w:tab/>
      </w:r>
      <w:r>
        <w:rPr>
          <w:noProof/>
        </w:rPr>
        <w:fldChar w:fldCharType="begin"/>
      </w:r>
      <w:r>
        <w:rPr>
          <w:noProof/>
        </w:rPr>
        <w:instrText xml:space="preserve"> PAGEREF _Toc362358034 \h </w:instrText>
      </w:r>
      <w:r>
        <w:rPr>
          <w:noProof/>
        </w:rPr>
      </w:r>
      <w:r>
        <w:rPr>
          <w:noProof/>
        </w:rPr>
        <w:fldChar w:fldCharType="separate"/>
      </w:r>
      <w:r w:rsidR="006A1245">
        <w:rPr>
          <w:noProof/>
        </w:rPr>
        <w:t>13</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1.4. Las competencias del Distrito como entidad territorial</w:t>
      </w:r>
      <w:r>
        <w:rPr>
          <w:noProof/>
        </w:rPr>
        <w:tab/>
      </w:r>
      <w:r>
        <w:rPr>
          <w:noProof/>
        </w:rPr>
        <w:fldChar w:fldCharType="begin"/>
      </w:r>
      <w:r>
        <w:rPr>
          <w:noProof/>
        </w:rPr>
        <w:instrText xml:space="preserve"> PAGEREF _Toc362358035 \h </w:instrText>
      </w:r>
      <w:r>
        <w:rPr>
          <w:noProof/>
        </w:rPr>
      </w:r>
      <w:r>
        <w:rPr>
          <w:noProof/>
        </w:rPr>
        <w:fldChar w:fldCharType="separate"/>
      </w:r>
      <w:r w:rsidR="006A1245">
        <w:rPr>
          <w:noProof/>
        </w:rPr>
        <w:t>16</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1.5. La gestión pública participativa en el sector educativo</w:t>
      </w:r>
      <w:r>
        <w:rPr>
          <w:noProof/>
        </w:rPr>
        <w:tab/>
      </w:r>
      <w:r>
        <w:rPr>
          <w:noProof/>
        </w:rPr>
        <w:fldChar w:fldCharType="begin"/>
      </w:r>
      <w:r>
        <w:rPr>
          <w:noProof/>
        </w:rPr>
        <w:instrText xml:space="preserve"> PAGEREF _Toc362358036 \h </w:instrText>
      </w:r>
      <w:r>
        <w:rPr>
          <w:noProof/>
        </w:rPr>
      </w:r>
      <w:r>
        <w:rPr>
          <w:noProof/>
        </w:rPr>
        <w:fldChar w:fldCharType="separate"/>
      </w:r>
      <w:r w:rsidR="006A1245">
        <w:rPr>
          <w:noProof/>
        </w:rPr>
        <w:t>18</w:t>
      </w:r>
      <w:r>
        <w:rPr>
          <w:noProof/>
        </w:rPr>
        <w:fldChar w:fldCharType="end"/>
      </w:r>
    </w:p>
    <w:p w:rsidR="000D3EF6" w:rsidRDefault="000D3EF6">
      <w:pPr>
        <w:pStyle w:val="TDC1"/>
        <w:tabs>
          <w:tab w:val="right" w:leader="dot" w:pos="8828"/>
        </w:tabs>
        <w:rPr>
          <w:b w:val="0"/>
          <w:noProof/>
          <w:sz w:val="22"/>
          <w:szCs w:val="22"/>
          <w:lang w:val="es-ES" w:eastAsia="es-ES"/>
        </w:rPr>
      </w:pPr>
      <w:r w:rsidRPr="0021399E">
        <w:rPr>
          <w:rFonts w:ascii="Times New Roman" w:hAnsi="Times New Roman"/>
          <w:noProof/>
        </w:rPr>
        <w:t>2. DIAGNÓSTICO</w:t>
      </w:r>
      <w:r>
        <w:rPr>
          <w:noProof/>
        </w:rPr>
        <w:tab/>
      </w:r>
      <w:r>
        <w:rPr>
          <w:noProof/>
        </w:rPr>
        <w:fldChar w:fldCharType="begin"/>
      </w:r>
      <w:r>
        <w:rPr>
          <w:noProof/>
        </w:rPr>
        <w:instrText xml:space="preserve"> PAGEREF _Toc362358037 \h </w:instrText>
      </w:r>
      <w:r>
        <w:rPr>
          <w:noProof/>
        </w:rPr>
      </w:r>
      <w:r>
        <w:rPr>
          <w:noProof/>
        </w:rPr>
        <w:fldChar w:fldCharType="separate"/>
      </w:r>
      <w:r w:rsidR="006A1245">
        <w:rPr>
          <w:noProof/>
        </w:rPr>
        <w:t>20</w:t>
      </w:r>
      <w:r>
        <w:rPr>
          <w:noProof/>
        </w:rPr>
        <w:fldChar w:fldCharType="end"/>
      </w:r>
    </w:p>
    <w:p w:rsidR="000D3EF6" w:rsidRDefault="000D3EF6">
      <w:pPr>
        <w:pStyle w:val="TDC2"/>
        <w:tabs>
          <w:tab w:val="right" w:leader="dot" w:pos="8828"/>
        </w:tabs>
        <w:rPr>
          <w:b w:val="0"/>
          <w:noProof/>
          <w:sz w:val="22"/>
          <w:szCs w:val="22"/>
          <w:lang w:val="es-ES" w:eastAsia="es-ES"/>
        </w:rPr>
      </w:pPr>
      <w:r w:rsidRPr="0021399E">
        <w:rPr>
          <w:noProof/>
        </w:rPr>
        <w:t>2.1. Los problemas de aprendizaje y de calidad de la educación</w:t>
      </w:r>
      <w:r>
        <w:rPr>
          <w:noProof/>
        </w:rPr>
        <w:tab/>
      </w:r>
      <w:r>
        <w:rPr>
          <w:noProof/>
        </w:rPr>
        <w:fldChar w:fldCharType="begin"/>
      </w:r>
      <w:r>
        <w:rPr>
          <w:noProof/>
        </w:rPr>
        <w:instrText xml:space="preserve"> PAGEREF _Toc362358038 \h </w:instrText>
      </w:r>
      <w:r>
        <w:rPr>
          <w:noProof/>
        </w:rPr>
      </w:r>
      <w:r>
        <w:rPr>
          <w:noProof/>
        </w:rPr>
        <w:fldChar w:fldCharType="separate"/>
      </w:r>
      <w:r w:rsidR="006A1245">
        <w:rPr>
          <w:noProof/>
        </w:rPr>
        <w:t>20</w:t>
      </w:r>
      <w:r>
        <w:rPr>
          <w:noProof/>
        </w:rPr>
        <w:fldChar w:fldCharType="end"/>
      </w:r>
    </w:p>
    <w:p w:rsidR="000D3EF6" w:rsidRDefault="000D3EF6">
      <w:pPr>
        <w:pStyle w:val="TDC2"/>
        <w:tabs>
          <w:tab w:val="right" w:leader="dot" w:pos="8828"/>
        </w:tabs>
        <w:rPr>
          <w:b w:val="0"/>
          <w:noProof/>
          <w:sz w:val="22"/>
          <w:szCs w:val="22"/>
          <w:lang w:val="es-ES" w:eastAsia="es-ES"/>
        </w:rPr>
      </w:pPr>
      <w:r w:rsidRPr="0021399E">
        <w:rPr>
          <w:noProof/>
        </w:rPr>
        <w:t>2.2. Acceso insuficiente en educación media y en primera infancia</w:t>
      </w:r>
      <w:r>
        <w:rPr>
          <w:noProof/>
        </w:rPr>
        <w:tab/>
      </w:r>
      <w:r>
        <w:rPr>
          <w:noProof/>
        </w:rPr>
        <w:fldChar w:fldCharType="begin"/>
      </w:r>
      <w:r>
        <w:rPr>
          <w:noProof/>
        </w:rPr>
        <w:instrText xml:space="preserve"> PAGEREF _Toc362358039 \h </w:instrText>
      </w:r>
      <w:r>
        <w:rPr>
          <w:noProof/>
        </w:rPr>
      </w:r>
      <w:r>
        <w:rPr>
          <w:noProof/>
        </w:rPr>
        <w:fldChar w:fldCharType="separate"/>
      </w:r>
      <w:r w:rsidR="006A1245">
        <w:rPr>
          <w:noProof/>
        </w:rPr>
        <w:t>27</w:t>
      </w:r>
      <w:r>
        <w:rPr>
          <w:noProof/>
        </w:rPr>
        <w:fldChar w:fldCharType="end"/>
      </w:r>
    </w:p>
    <w:p w:rsidR="000D3EF6" w:rsidRDefault="000D3EF6">
      <w:pPr>
        <w:pStyle w:val="TDC2"/>
        <w:tabs>
          <w:tab w:val="right" w:leader="dot" w:pos="8828"/>
        </w:tabs>
        <w:rPr>
          <w:b w:val="0"/>
          <w:noProof/>
          <w:sz w:val="22"/>
          <w:szCs w:val="22"/>
          <w:lang w:val="es-ES" w:eastAsia="es-ES"/>
        </w:rPr>
      </w:pPr>
      <w:r w:rsidRPr="0021399E">
        <w:rPr>
          <w:noProof/>
        </w:rPr>
        <w:t>2.3.  Desigualdades y exclusión</w:t>
      </w:r>
      <w:r>
        <w:rPr>
          <w:noProof/>
        </w:rPr>
        <w:tab/>
      </w:r>
      <w:r>
        <w:rPr>
          <w:noProof/>
        </w:rPr>
        <w:fldChar w:fldCharType="begin"/>
      </w:r>
      <w:r>
        <w:rPr>
          <w:noProof/>
        </w:rPr>
        <w:instrText xml:space="preserve"> PAGEREF _Toc362358040 \h </w:instrText>
      </w:r>
      <w:r>
        <w:rPr>
          <w:noProof/>
        </w:rPr>
      </w:r>
      <w:r>
        <w:rPr>
          <w:noProof/>
        </w:rPr>
        <w:fldChar w:fldCharType="separate"/>
      </w:r>
      <w:r w:rsidR="006A1245">
        <w:rPr>
          <w:noProof/>
        </w:rPr>
        <w:t>34</w:t>
      </w:r>
      <w:r>
        <w:rPr>
          <w:noProof/>
        </w:rPr>
        <w:fldChar w:fldCharType="end"/>
      </w:r>
    </w:p>
    <w:p w:rsidR="000D3EF6" w:rsidRDefault="000D3EF6">
      <w:pPr>
        <w:pStyle w:val="TDC2"/>
        <w:tabs>
          <w:tab w:val="right" w:leader="dot" w:pos="8828"/>
        </w:tabs>
        <w:rPr>
          <w:b w:val="0"/>
          <w:noProof/>
          <w:sz w:val="22"/>
          <w:szCs w:val="22"/>
          <w:lang w:val="es-ES" w:eastAsia="es-ES"/>
        </w:rPr>
      </w:pPr>
      <w:r w:rsidRPr="0021399E">
        <w:rPr>
          <w:noProof/>
        </w:rPr>
        <w:t>2.4. Causas o factores incidentes en los problemas</w:t>
      </w:r>
      <w:r>
        <w:rPr>
          <w:noProof/>
        </w:rPr>
        <w:tab/>
      </w:r>
      <w:r>
        <w:rPr>
          <w:noProof/>
        </w:rPr>
        <w:fldChar w:fldCharType="begin"/>
      </w:r>
      <w:r>
        <w:rPr>
          <w:noProof/>
        </w:rPr>
        <w:instrText xml:space="preserve"> PAGEREF _Toc362358041 \h </w:instrText>
      </w:r>
      <w:r>
        <w:rPr>
          <w:noProof/>
        </w:rPr>
      </w:r>
      <w:r>
        <w:rPr>
          <w:noProof/>
        </w:rPr>
        <w:fldChar w:fldCharType="separate"/>
      </w:r>
      <w:r w:rsidR="006A1245">
        <w:rPr>
          <w:noProof/>
        </w:rPr>
        <w:t>35</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2.4.1. Las causas que limitan el acceso y la permanencia en el sistema educativo</w:t>
      </w:r>
      <w:r>
        <w:rPr>
          <w:noProof/>
        </w:rPr>
        <w:tab/>
      </w:r>
      <w:r>
        <w:rPr>
          <w:noProof/>
        </w:rPr>
        <w:fldChar w:fldCharType="begin"/>
      </w:r>
      <w:r>
        <w:rPr>
          <w:noProof/>
        </w:rPr>
        <w:instrText xml:space="preserve"> PAGEREF _Toc362358042 \h </w:instrText>
      </w:r>
      <w:r>
        <w:rPr>
          <w:noProof/>
        </w:rPr>
      </w:r>
      <w:r>
        <w:rPr>
          <w:noProof/>
        </w:rPr>
        <w:fldChar w:fldCharType="separate"/>
      </w:r>
      <w:r w:rsidR="006A1245">
        <w:rPr>
          <w:noProof/>
        </w:rPr>
        <w:t>36</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2.4.2.Las causas que limitan la calidad del servicio educativo</w:t>
      </w:r>
      <w:r>
        <w:rPr>
          <w:noProof/>
        </w:rPr>
        <w:tab/>
      </w:r>
      <w:r>
        <w:rPr>
          <w:noProof/>
        </w:rPr>
        <w:fldChar w:fldCharType="begin"/>
      </w:r>
      <w:r>
        <w:rPr>
          <w:noProof/>
        </w:rPr>
        <w:instrText xml:space="preserve"> PAGEREF _Toc362358043 \h </w:instrText>
      </w:r>
      <w:r>
        <w:rPr>
          <w:noProof/>
        </w:rPr>
      </w:r>
      <w:r>
        <w:rPr>
          <w:noProof/>
        </w:rPr>
        <w:fldChar w:fldCharType="separate"/>
      </w:r>
      <w:r w:rsidR="006A1245">
        <w:rPr>
          <w:noProof/>
        </w:rPr>
        <w:t>38</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2.4.3. Limitaciones en la gestión pública</w:t>
      </w:r>
      <w:r>
        <w:rPr>
          <w:noProof/>
        </w:rPr>
        <w:tab/>
      </w:r>
      <w:r>
        <w:rPr>
          <w:noProof/>
        </w:rPr>
        <w:fldChar w:fldCharType="begin"/>
      </w:r>
      <w:r>
        <w:rPr>
          <w:noProof/>
        </w:rPr>
        <w:instrText xml:space="preserve"> PAGEREF _Toc362358044 \h </w:instrText>
      </w:r>
      <w:r>
        <w:rPr>
          <w:noProof/>
        </w:rPr>
      </w:r>
      <w:r>
        <w:rPr>
          <w:noProof/>
        </w:rPr>
        <w:fldChar w:fldCharType="separate"/>
      </w:r>
      <w:r w:rsidR="006A1245">
        <w:rPr>
          <w:noProof/>
        </w:rPr>
        <w:t>43</w:t>
      </w:r>
      <w:r>
        <w:rPr>
          <w:noProof/>
        </w:rPr>
        <w:fldChar w:fldCharType="end"/>
      </w:r>
    </w:p>
    <w:p w:rsidR="000D3EF6" w:rsidRDefault="000D3EF6">
      <w:pPr>
        <w:pStyle w:val="TDC1"/>
        <w:tabs>
          <w:tab w:val="right" w:leader="dot" w:pos="8828"/>
        </w:tabs>
        <w:rPr>
          <w:b w:val="0"/>
          <w:noProof/>
          <w:sz w:val="22"/>
          <w:szCs w:val="22"/>
          <w:lang w:val="es-ES" w:eastAsia="es-ES"/>
        </w:rPr>
      </w:pPr>
      <w:r w:rsidRPr="0021399E">
        <w:rPr>
          <w:rFonts w:ascii="Times New Roman" w:hAnsi="Times New Roman"/>
          <w:noProof/>
        </w:rPr>
        <w:t>3. OBJETIVOS Y LÍNEAS DE ACCIÓN: LAS APUESTAS</w:t>
      </w:r>
      <w:r>
        <w:rPr>
          <w:noProof/>
        </w:rPr>
        <w:tab/>
      </w:r>
      <w:r>
        <w:rPr>
          <w:noProof/>
        </w:rPr>
        <w:fldChar w:fldCharType="begin"/>
      </w:r>
      <w:r>
        <w:rPr>
          <w:noProof/>
        </w:rPr>
        <w:instrText xml:space="preserve"> PAGEREF _Toc362358045 \h </w:instrText>
      </w:r>
      <w:r>
        <w:rPr>
          <w:noProof/>
        </w:rPr>
      </w:r>
      <w:r>
        <w:rPr>
          <w:noProof/>
        </w:rPr>
        <w:fldChar w:fldCharType="separate"/>
      </w:r>
      <w:r w:rsidR="006A1245">
        <w:rPr>
          <w:noProof/>
        </w:rPr>
        <w:t>46</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3.1. Objetivos y metas de impacto, resultado y gestión en el plan distrital</w:t>
      </w:r>
      <w:r>
        <w:rPr>
          <w:noProof/>
        </w:rPr>
        <w:tab/>
      </w:r>
      <w:r>
        <w:rPr>
          <w:noProof/>
        </w:rPr>
        <w:fldChar w:fldCharType="begin"/>
      </w:r>
      <w:r>
        <w:rPr>
          <w:noProof/>
        </w:rPr>
        <w:instrText xml:space="preserve"> PAGEREF _Toc362358046 \h </w:instrText>
      </w:r>
      <w:r>
        <w:rPr>
          <w:noProof/>
        </w:rPr>
      </w:r>
      <w:r>
        <w:rPr>
          <w:noProof/>
        </w:rPr>
        <w:fldChar w:fldCharType="separate"/>
      </w:r>
      <w:r w:rsidR="006A1245">
        <w:rPr>
          <w:noProof/>
        </w:rPr>
        <w:t>46</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3.2. Las metas del plan sectorial</w:t>
      </w:r>
      <w:r>
        <w:rPr>
          <w:noProof/>
        </w:rPr>
        <w:tab/>
      </w:r>
      <w:r>
        <w:rPr>
          <w:noProof/>
        </w:rPr>
        <w:fldChar w:fldCharType="begin"/>
      </w:r>
      <w:r>
        <w:rPr>
          <w:noProof/>
        </w:rPr>
        <w:instrText xml:space="preserve"> PAGEREF _Toc362358047 \h </w:instrText>
      </w:r>
      <w:r>
        <w:rPr>
          <w:noProof/>
        </w:rPr>
      </w:r>
      <w:r>
        <w:rPr>
          <w:noProof/>
        </w:rPr>
        <w:fldChar w:fldCharType="separate"/>
      </w:r>
      <w:r w:rsidR="006A1245">
        <w:rPr>
          <w:noProof/>
        </w:rPr>
        <w:t>48</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3.3. Las apuestas principales del Plan Sectorial</w:t>
      </w:r>
      <w:r>
        <w:rPr>
          <w:noProof/>
        </w:rPr>
        <w:tab/>
      </w:r>
      <w:r>
        <w:rPr>
          <w:noProof/>
        </w:rPr>
        <w:fldChar w:fldCharType="begin"/>
      </w:r>
      <w:r>
        <w:rPr>
          <w:noProof/>
        </w:rPr>
        <w:instrText xml:space="preserve"> PAGEREF _Toc362358048 \h </w:instrText>
      </w:r>
      <w:r>
        <w:rPr>
          <w:noProof/>
        </w:rPr>
      </w:r>
      <w:r>
        <w:rPr>
          <w:noProof/>
        </w:rPr>
        <w:fldChar w:fldCharType="separate"/>
      </w:r>
      <w:r w:rsidR="006A1245">
        <w:rPr>
          <w:noProof/>
        </w:rPr>
        <w:t>49</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3.3.1 Currículo para la excelencia académica y la formación integral en educación inicial, básica y media</w:t>
      </w:r>
      <w:r>
        <w:rPr>
          <w:noProof/>
        </w:rPr>
        <w:tab/>
      </w:r>
      <w:r>
        <w:rPr>
          <w:noProof/>
        </w:rPr>
        <w:fldChar w:fldCharType="begin"/>
      </w:r>
      <w:r>
        <w:rPr>
          <w:noProof/>
        </w:rPr>
        <w:instrText xml:space="preserve"> PAGEREF _Toc362358049 \h </w:instrText>
      </w:r>
      <w:r>
        <w:rPr>
          <w:noProof/>
        </w:rPr>
      </w:r>
      <w:r>
        <w:rPr>
          <w:noProof/>
        </w:rPr>
        <w:fldChar w:fldCharType="separate"/>
      </w:r>
      <w:r w:rsidR="006A1245">
        <w:rPr>
          <w:noProof/>
        </w:rPr>
        <w:t>51</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3.3.2 Educación inicial – atención integral a la primera infancia</w:t>
      </w:r>
      <w:r>
        <w:rPr>
          <w:noProof/>
        </w:rPr>
        <w:tab/>
      </w:r>
      <w:r>
        <w:rPr>
          <w:noProof/>
        </w:rPr>
        <w:fldChar w:fldCharType="begin"/>
      </w:r>
      <w:r>
        <w:rPr>
          <w:noProof/>
        </w:rPr>
        <w:instrText xml:space="preserve"> PAGEREF _Toc362358050 \h </w:instrText>
      </w:r>
      <w:r>
        <w:rPr>
          <w:noProof/>
        </w:rPr>
      </w:r>
      <w:r>
        <w:rPr>
          <w:noProof/>
        </w:rPr>
        <w:fldChar w:fldCharType="separate"/>
      </w:r>
      <w:r w:rsidR="006A1245">
        <w:rPr>
          <w:noProof/>
        </w:rPr>
        <w:t>54</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3.3.3 Educación Media fortalecida y mayor acceso a la educación superior</w:t>
      </w:r>
      <w:r>
        <w:rPr>
          <w:noProof/>
        </w:rPr>
        <w:tab/>
      </w:r>
      <w:r>
        <w:rPr>
          <w:noProof/>
        </w:rPr>
        <w:fldChar w:fldCharType="begin"/>
      </w:r>
      <w:r>
        <w:rPr>
          <w:noProof/>
        </w:rPr>
        <w:instrText xml:space="preserve"> PAGEREF _Toc362358051 \h </w:instrText>
      </w:r>
      <w:r>
        <w:rPr>
          <w:noProof/>
        </w:rPr>
      </w:r>
      <w:r>
        <w:rPr>
          <w:noProof/>
        </w:rPr>
        <w:fldChar w:fldCharType="separate"/>
      </w:r>
      <w:r w:rsidR="006A1245">
        <w:rPr>
          <w:noProof/>
        </w:rPr>
        <w:t>56</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3.3.4 Ciudadanía y convivencia</w:t>
      </w:r>
      <w:r>
        <w:rPr>
          <w:noProof/>
        </w:rPr>
        <w:tab/>
      </w:r>
      <w:r>
        <w:rPr>
          <w:noProof/>
        </w:rPr>
        <w:fldChar w:fldCharType="begin"/>
      </w:r>
      <w:r>
        <w:rPr>
          <w:noProof/>
        </w:rPr>
        <w:instrText xml:space="preserve"> PAGEREF _Toc362358052 \h </w:instrText>
      </w:r>
      <w:r>
        <w:rPr>
          <w:noProof/>
        </w:rPr>
      </w:r>
      <w:r>
        <w:rPr>
          <w:noProof/>
        </w:rPr>
        <w:fldChar w:fldCharType="separate"/>
      </w:r>
      <w:r w:rsidR="006A1245">
        <w:rPr>
          <w:noProof/>
        </w:rPr>
        <w:t>58</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3.3.5 Inclusión</w:t>
      </w:r>
      <w:r>
        <w:rPr>
          <w:noProof/>
        </w:rPr>
        <w:tab/>
      </w:r>
      <w:r>
        <w:rPr>
          <w:noProof/>
        </w:rPr>
        <w:fldChar w:fldCharType="begin"/>
      </w:r>
      <w:r>
        <w:rPr>
          <w:noProof/>
        </w:rPr>
        <w:instrText xml:space="preserve"> PAGEREF _Toc362358053 \h </w:instrText>
      </w:r>
      <w:r>
        <w:rPr>
          <w:noProof/>
        </w:rPr>
      </w:r>
      <w:r>
        <w:rPr>
          <w:noProof/>
        </w:rPr>
        <w:fldChar w:fldCharType="separate"/>
      </w:r>
      <w:r w:rsidR="006A1245">
        <w:rPr>
          <w:noProof/>
        </w:rPr>
        <w:t>59</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3.3.6 Maestros empoderados con bienestar y mejor formación</w:t>
      </w:r>
      <w:r>
        <w:rPr>
          <w:noProof/>
        </w:rPr>
        <w:tab/>
      </w:r>
      <w:r>
        <w:rPr>
          <w:noProof/>
        </w:rPr>
        <w:fldChar w:fldCharType="begin"/>
      </w:r>
      <w:r>
        <w:rPr>
          <w:noProof/>
        </w:rPr>
        <w:instrText xml:space="preserve"> PAGEREF _Toc362358054 \h </w:instrText>
      </w:r>
      <w:r>
        <w:rPr>
          <w:noProof/>
        </w:rPr>
      </w:r>
      <w:r>
        <w:rPr>
          <w:noProof/>
        </w:rPr>
        <w:fldChar w:fldCharType="separate"/>
      </w:r>
      <w:r w:rsidR="006A1245">
        <w:rPr>
          <w:noProof/>
        </w:rPr>
        <w:t>60</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3.3.7 Tecnologías de la información y las comunicaciones - TICs</w:t>
      </w:r>
      <w:r>
        <w:rPr>
          <w:noProof/>
        </w:rPr>
        <w:tab/>
      </w:r>
      <w:r>
        <w:rPr>
          <w:noProof/>
        </w:rPr>
        <w:fldChar w:fldCharType="begin"/>
      </w:r>
      <w:r>
        <w:rPr>
          <w:noProof/>
        </w:rPr>
        <w:instrText xml:space="preserve"> PAGEREF _Toc362358055 \h </w:instrText>
      </w:r>
      <w:r>
        <w:rPr>
          <w:noProof/>
        </w:rPr>
      </w:r>
      <w:r>
        <w:rPr>
          <w:noProof/>
        </w:rPr>
        <w:fldChar w:fldCharType="separate"/>
      </w:r>
      <w:r w:rsidR="006A1245">
        <w:rPr>
          <w:noProof/>
        </w:rPr>
        <w:t>62</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3.3.8 Evaluación integral para la calidad educativa</w:t>
      </w:r>
      <w:r>
        <w:rPr>
          <w:noProof/>
        </w:rPr>
        <w:tab/>
      </w:r>
      <w:r>
        <w:rPr>
          <w:noProof/>
        </w:rPr>
        <w:fldChar w:fldCharType="begin"/>
      </w:r>
      <w:r>
        <w:rPr>
          <w:noProof/>
        </w:rPr>
        <w:instrText xml:space="preserve"> PAGEREF _Toc362358056 \h </w:instrText>
      </w:r>
      <w:r>
        <w:rPr>
          <w:noProof/>
        </w:rPr>
      </w:r>
      <w:r>
        <w:rPr>
          <w:noProof/>
        </w:rPr>
        <w:fldChar w:fldCharType="separate"/>
      </w:r>
      <w:r w:rsidR="006A1245">
        <w:rPr>
          <w:noProof/>
        </w:rPr>
        <w:t>63</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3.3.9. Mejor gestión</w:t>
      </w:r>
      <w:r>
        <w:rPr>
          <w:noProof/>
        </w:rPr>
        <w:tab/>
      </w:r>
      <w:r>
        <w:rPr>
          <w:noProof/>
        </w:rPr>
        <w:fldChar w:fldCharType="begin"/>
      </w:r>
      <w:r>
        <w:rPr>
          <w:noProof/>
        </w:rPr>
        <w:instrText xml:space="preserve"> PAGEREF _Toc362358057 \h </w:instrText>
      </w:r>
      <w:r>
        <w:rPr>
          <w:noProof/>
        </w:rPr>
      </w:r>
      <w:r>
        <w:rPr>
          <w:noProof/>
        </w:rPr>
        <w:fldChar w:fldCharType="separate"/>
      </w:r>
      <w:r w:rsidR="006A1245">
        <w:rPr>
          <w:noProof/>
        </w:rPr>
        <w:t>63</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3.3.10 Hábitat escolar</w:t>
      </w:r>
      <w:r>
        <w:rPr>
          <w:noProof/>
        </w:rPr>
        <w:tab/>
      </w:r>
      <w:r>
        <w:rPr>
          <w:noProof/>
        </w:rPr>
        <w:fldChar w:fldCharType="begin"/>
      </w:r>
      <w:r>
        <w:rPr>
          <w:noProof/>
        </w:rPr>
        <w:instrText xml:space="preserve"> PAGEREF _Toc362358058 \h </w:instrText>
      </w:r>
      <w:r>
        <w:rPr>
          <w:noProof/>
        </w:rPr>
      </w:r>
      <w:r>
        <w:rPr>
          <w:noProof/>
        </w:rPr>
        <w:fldChar w:fldCharType="separate"/>
      </w:r>
      <w:r w:rsidR="006A1245">
        <w:rPr>
          <w:noProof/>
        </w:rPr>
        <w:t>64</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3.11. Movilidad</w:t>
      </w:r>
      <w:r>
        <w:rPr>
          <w:noProof/>
        </w:rPr>
        <w:tab/>
      </w:r>
      <w:r>
        <w:rPr>
          <w:noProof/>
        </w:rPr>
        <w:fldChar w:fldCharType="begin"/>
      </w:r>
      <w:r>
        <w:rPr>
          <w:noProof/>
        </w:rPr>
        <w:instrText xml:space="preserve"> PAGEREF _Toc362358059 \h </w:instrText>
      </w:r>
      <w:r>
        <w:rPr>
          <w:noProof/>
        </w:rPr>
      </w:r>
      <w:r>
        <w:rPr>
          <w:noProof/>
        </w:rPr>
        <w:fldChar w:fldCharType="separate"/>
      </w:r>
      <w:r w:rsidR="006A1245">
        <w:rPr>
          <w:noProof/>
        </w:rPr>
        <w:t>66</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i/>
          <w:noProof/>
        </w:rPr>
        <w:t>3.3.12 Alimentación</w:t>
      </w:r>
      <w:r>
        <w:rPr>
          <w:noProof/>
        </w:rPr>
        <w:tab/>
      </w:r>
      <w:r>
        <w:rPr>
          <w:noProof/>
        </w:rPr>
        <w:fldChar w:fldCharType="begin"/>
      </w:r>
      <w:r>
        <w:rPr>
          <w:noProof/>
        </w:rPr>
        <w:instrText xml:space="preserve"> PAGEREF _Toc362358060 \h </w:instrText>
      </w:r>
      <w:r>
        <w:rPr>
          <w:noProof/>
        </w:rPr>
      </w:r>
      <w:r>
        <w:rPr>
          <w:noProof/>
        </w:rPr>
        <w:fldChar w:fldCharType="separate"/>
      </w:r>
      <w:r w:rsidR="006A1245">
        <w:rPr>
          <w:noProof/>
        </w:rPr>
        <w:t>68</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3.4. Proyectos de inversión</w:t>
      </w:r>
      <w:r>
        <w:rPr>
          <w:noProof/>
        </w:rPr>
        <w:tab/>
      </w:r>
      <w:r>
        <w:rPr>
          <w:noProof/>
        </w:rPr>
        <w:fldChar w:fldCharType="begin"/>
      </w:r>
      <w:r>
        <w:rPr>
          <w:noProof/>
        </w:rPr>
        <w:instrText xml:space="preserve"> PAGEREF _Toc362358061 \h </w:instrText>
      </w:r>
      <w:r>
        <w:rPr>
          <w:noProof/>
        </w:rPr>
      </w:r>
      <w:r>
        <w:rPr>
          <w:noProof/>
        </w:rPr>
        <w:fldChar w:fldCharType="separate"/>
      </w:r>
      <w:r w:rsidR="006A1245">
        <w:rPr>
          <w:noProof/>
        </w:rPr>
        <w:t>70</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3.5.  Presupuesto de inversión Secretaría de Educación</w:t>
      </w:r>
      <w:r>
        <w:rPr>
          <w:noProof/>
        </w:rPr>
        <w:tab/>
      </w:r>
      <w:r>
        <w:rPr>
          <w:noProof/>
        </w:rPr>
        <w:fldChar w:fldCharType="begin"/>
      </w:r>
      <w:r>
        <w:rPr>
          <w:noProof/>
        </w:rPr>
        <w:instrText xml:space="preserve"> PAGEREF _Toc362358062 \h </w:instrText>
      </w:r>
      <w:r>
        <w:rPr>
          <w:noProof/>
        </w:rPr>
      </w:r>
      <w:r>
        <w:rPr>
          <w:noProof/>
        </w:rPr>
        <w:fldChar w:fldCharType="separate"/>
      </w:r>
      <w:r w:rsidR="006A1245">
        <w:rPr>
          <w:noProof/>
        </w:rPr>
        <w:t>71</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3.6. Organización e instrumentos para la ejecución del Plan Sectorial</w:t>
      </w:r>
      <w:r>
        <w:rPr>
          <w:noProof/>
        </w:rPr>
        <w:tab/>
      </w:r>
      <w:r>
        <w:rPr>
          <w:noProof/>
        </w:rPr>
        <w:fldChar w:fldCharType="begin"/>
      </w:r>
      <w:r>
        <w:rPr>
          <w:noProof/>
        </w:rPr>
        <w:instrText xml:space="preserve"> PAGEREF _Toc362358063 \h </w:instrText>
      </w:r>
      <w:r>
        <w:rPr>
          <w:noProof/>
        </w:rPr>
      </w:r>
      <w:r>
        <w:rPr>
          <w:noProof/>
        </w:rPr>
        <w:fldChar w:fldCharType="separate"/>
      </w:r>
      <w:r w:rsidR="006A1245">
        <w:rPr>
          <w:noProof/>
        </w:rPr>
        <w:t>72</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3.7. Instituto de Investigación Educativa y el Desarrollo Pedagógico</w:t>
      </w:r>
      <w:r>
        <w:rPr>
          <w:noProof/>
        </w:rPr>
        <w:tab/>
      </w:r>
      <w:r>
        <w:rPr>
          <w:noProof/>
        </w:rPr>
        <w:fldChar w:fldCharType="begin"/>
      </w:r>
      <w:r>
        <w:rPr>
          <w:noProof/>
        </w:rPr>
        <w:instrText xml:space="preserve"> PAGEREF _Toc362358064 \h </w:instrText>
      </w:r>
      <w:r>
        <w:rPr>
          <w:noProof/>
        </w:rPr>
      </w:r>
      <w:r>
        <w:rPr>
          <w:noProof/>
        </w:rPr>
        <w:fldChar w:fldCharType="separate"/>
      </w:r>
      <w:r w:rsidR="006A1245">
        <w:rPr>
          <w:noProof/>
        </w:rPr>
        <w:t>76</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3.8. Universidad Distrital</w:t>
      </w:r>
      <w:r>
        <w:rPr>
          <w:noProof/>
        </w:rPr>
        <w:tab/>
      </w:r>
      <w:r>
        <w:rPr>
          <w:noProof/>
        </w:rPr>
        <w:fldChar w:fldCharType="begin"/>
      </w:r>
      <w:r>
        <w:rPr>
          <w:noProof/>
        </w:rPr>
        <w:instrText xml:space="preserve"> PAGEREF _Toc362358065 \h </w:instrText>
      </w:r>
      <w:r>
        <w:rPr>
          <w:noProof/>
        </w:rPr>
      </w:r>
      <w:r>
        <w:rPr>
          <w:noProof/>
        </w:rPr>
        <w:fldChar w:fldCharType="separate"/>
      </w:r>
      <w:r w:rsidR="006A1245">
        <w:rPr>
          <w:noProof/>
        </w:rPr>
        <w:t>77</w:t>
      </w:r>
      <w:r>
        <w:rPr>
          <w:noProof/>
        </w:rPr>
        <w:fldChar w:fldCharType="end"/>
      </w:r>
    </w:p>
    <w:p w:rsidR="000D3EF6" w:rsidRDefault="000D3EF6">
      <w:pPr>
        <w:pStyle w:val="TDC3"/>
        <w:tabs>
          <w:tab w:val="right" w:leader="dot" w:pos="8828"/>
        </w:tabs>
        <w:rPr>
          <w:noProof/>
          <w:sz w:val="22"/>
          <w:szCs w:val="22"/>
          <w:lang w:val="es-ES" w:eastAsia="es-ES"/>
        </w:rPr>
      </w:pPr>
      <w:r w:rsidRPr="0021399E">
        <w:rPr>
          <w:rFonts w:ascii="Times New Roman" w:hAnsi="Times New Roman"/>
          <w:noProof/>
        </w:rPr>
        <w:t>3.9. Coordinación con otros sectores</w:t>
      </w:r>
      <w:r>
        <w:rPr>
          <w:noProof/>
        </w:rPr>
        <w:tab/>
      </w:r>
      <w:r>
        <w:rPr>
          <w:noProof/>
        </w:rPr>
        <w:fldChar w:fldCharType="begin"/>
      </w:r>
      <w:r>
        <w:rPr>
          <w:noProof/>
        </w:rPr>
        <w:instrText xml:space="preserve"> PAGEREF _Toc362358066 \h </w:instrText>
      </w:r>
      <w:r>
        <w:rPr>
          <w:noProof/>
        </w:rPr>
      </w:r>
      <w:r>
        <w:rPr>
          <w:noProof/>
        </w:rPr>
        <w:fldChar w:fldCharType="separate"/>
      </w:r>
      <w:r w:rsidR="006A1245">
        <w:rPr>
          <w:noProof/>
        </w:rPr>
        <w:t>82</w:t>
      </w:r>
      <w:r>
        <w:rPr>
          <w:noProof/>
        </w:rPr>
        <w:fldChar w:fldCharType="end"/>
      </w:r>
    </w:p>
    <w:p w:rsidR="000D3EF6" w:rsidRDefault="000D3EF6">
      <w:pPr>
        <w:pStyle w:val="TDC1"/>
        <w:tabs>
          <w:tab w:val="right" w:leader="dot" w:pos="8828"/>
        </w:tabs>
        <w:rPr>
          <w:b w:val="0"/>
          <w:noProof/>
          <w:sz w:val="22"/>
          <w:szCs w:val="22"/>
          <w:lang w:val="es-ES" w:eastAsia="es-ES"/>
        </w:rPr>
      </w:pPr>
      <w:r w:rsidRPr="0021399E">
        <w:rPr>
          <w:rFonts w:ascii="Times New Roman" w:hAnsi="Times New Roman"/>
          <w:noProof/>
        </w:rPr>
        <w:t>BIBLIOGRAFÍA</w:t>
      </w:r>
      <w:r>
        <w:rPr>
          <w:noProof/>
        </w:rPr>
        <w:tab/>
      </w:r>
      <w:r>
        <w:rPr>
          <w:noProof/>
        </w:rPr>
        <w:fldChar w:fldCharType="begin"/>
      </w:r>
      <w:r>
        <w:rPr>
          <w:noProof/>
        </w:rPr>
        <w:instrText xml:space="preserve"> PAGEREF _Toc362358067 \h </w:instrText>
      </w:r>
      <w:r>
        <w:rPr>
          <w:noProof/>
        </w:rPr>
      </w:r>
      <w:r>
        <w:rPr>
          <w:noProof/>
        </w:rPr>
        <w:fldChar w:fldCharType="separate"/>
      </w:r>
      <w:r w:rsidR="006A1245">
        <w:rPr>
          <w:noProof/>
        </w:rPr>
        <w:t>84</w:t>
      </w:r>
      <w:r>
        <w:rPr>
          <w:noProof/>
        </w:rPr>
        <w:fldChar w:fldCharType="end"/>
      </w:r>
    </w:p>
    <w:p w:rsidR="00AD697D" w:rsidRPr="00FD23C4" w:rsidRDefault="000C7319" w:rsidP="00FD23C4">
      <w:pPr>
        <w:jc w:val="both"/>
        <w:rPr>
          <w:rFonts w:ascii="Times New Roman" w:hAnsi="Times New Roman" w:cs="Arial"/>
          <w:sz w:val="22"/>
          <w:szCs w:val="22"/>
          <w:lang w:val="es-ES"/>
        </w:rPr>
      </w:pPr>
      <w:r w:rsidRPr="00727464">
        <w:rPr>
          <w:rFonts w:ascii="Times New Roman" w:hAnsi="Times New Roman" w:cs="Arial"/>
          <w:sz w:val="22"/>
          <w:szCs w:val="22"/>
          <w:lang w:val="es-ES"/>
        </w:rPr>
        <w:fldChar w:fldCharType="end"/>
      </w:r>
      <w:bookmarkStart w:id="0" w:name="_Toc334448994"/>
    </w:p>
    <w:p w:rsidR="00E305F4" w:rsidRDefault="005A5B0C">
      <w:pPr>
        <w:pStyle w:val="Ttulo1"/>
      </w:pPr>
      <w:bookmarkStart w:id="1" w:name="_Toc362358030"/>
      <w:r w:rsidRPr="00BA20B4">
        <w:rPr>
          <w:rFonts w:ascii="Times New Roman" w:hAnsi="Times New Roman"/>
        </w:rPr>
        <w:lastRenderedPageBreak/>
        <w:t>PRESENTACIÓN</w:t>
      </w:r>
      <w:bookmarkEnd w:id="0"/>
      <w:bookmarkEnd w:id="1"/>
    </w:p>
    <w:p w:rsidR="0033376D" w:rsidRDefault="0033376D" w:rsidP="00722944">
      <w:pPr>
        <w:autoSpaceDE w:val="0"/>
        <w:autoSpaceDN w:val="0"/>
        <w:adjustRightInd w:val="0"/>
        <w:ind w:left="3540"/>
        <w:jc w:val="both"/>
        <w:rPr>
          <w:rFonts w:ascii="Times New Roman" w:hAnsi="Times New Roman" w:cs="Arial"/>
          <w:i/>
          <w:sz w:val="20"/>
          <w:szCs w:val="20"/>
        </w:rPr>
      </w:pPr>
    </w:p>
    <w:p w:rsidR="0033376D" w:rsidRDefault="0033376D" w:rsidP="00722944">
      <w:pPr>
        <w:autoSpaceDE w:val="0"/>
        <w:autoSpaceDN w:val="0"/>
        <w:adjustRightInd w:val="0"/>
        <w:ind w:left="3540"/>
        <w:jc w:val="both"/>
        <w:rPr>
          <w:rFonts w:ascii="Times New Roman" w:hAnsi="Times New Roman" w:cs="Arial"/>
          <w:i/>
          <w:sz w:val="20"/>
          <w:szCs w:val="20"/>
        </w:rPr>
      </w:pPr>
    </w:p>
    <w:p w:rsidR="005A5B0C" w:rsidRPr="00BA20B4" w:rsidRDefault="005A5B0C" w:rsidP="00722944">
      <w:pPr>
        <w:autoSpaceDE w:val="0"/>
        <w:autoSpaceDN w:val="0"/>
        <w:adjustRightInd w:val="0"/>
        <w:ind w:left="3540"/>
        <w:jc w:val="both"/>
        <w:rPr>
          <w:rFonts w:ascii="Times New Roman" w:hAnsi="Times New Roman" w:cs="Arial"/>
          <w:i/>
          <w:sz w:val="20"/>
          <w:szCs w:val="20"/>
        </w:rPr>
      </w:pPr>
      <w:r w:rsidRPr="00BA20B4">
        <w:rPr>
          <w:rFonts w:ascii="Times New Roman" w:hAnsi="Times New Roman" w:cs="Arial"/>
          <w:i/>
          <w:sz w:val="20"/>
          <w:szCs w:val="20"/>
        </w:rPr>
        <w:t>“La gran mayoría de los estudios orientados a esclarecer la relación entre educación y equidad social coinciden en centrar la atención en la educación como una condición indispensable para el logro de una sociedad más equitativa”</w:t>
      </w:r>
      <w:r w:rsidRPr="00BA20B4">
        <w:rPr>
          <w:rStyle w:val="Refdenotaalpie"/>
          <w:rFonts w:ascii="Times New Roman" w:hAnsi="Times New Roman"/>
          <w:sz w:val="20"/>
          <w:szCs w:val="20"/>
        </w:rPr>
        <w:footnoteReference w:id="1"/>
      </w:r>
      <w:r w:rsidRPr="00BA20B4">
        <w:rPr>
          <w:rFonts w:ascii="Times New Roman" w:hAnsi="Times New Roman" w:cs="Arial"/>
          <w:i/>
          <w:sz w:val="20"/>
          <w:szCs w:val="20"/>
        </w:rPr>
        <w:t xml:space="preserve">. </w:t>
      </w:r>
    </w:p>
    <w:p w:rsidR="005A5B0C" w:rsidRPr="00BA20B4" w:rsidRDefault="005A5B0C" w:rsidP="005A5B0C">
      <w:pPr>
        <w:autoSpaceDE w:val="0"/>
        <w:autoSpaceDN w:val="0"/>
        <w:adjustRightInd w:val="0"/>
        <w:jc w:val="both"/>
        <w:rPr>
          <w:rFonts w:ascii="Times New Roman" w:hAnsi="Times New Roman" w:cs="Arial"/>
        </w:rPr>
      </w:pPr>
    </w:p>
    <w:p w:rsidR="0033376D" w:rsidRDefault="0033376D" w:rsidP="005A5B0C">
      <w:pPr>
        <w:autoSpaceDE w:val="0"/>
        <w:autoSpaceDN w:val="0"/>
        <w:adjustRightInd w:val="0"/>
        <w:jc w:val="both"/>
        <w:rPr>
          <w:rFonts w:ascii="Times New Roman" w:hAnsi="Times New Roman" w:cs="Arial"/>
        </w:rPr>
      </w:pPr>
    </w:p>
    <w:p w:rsidR="005A5B0C" w:rsidRPr="00BA20B4" w:rsidRDefault="005A5B0C" w:rsidP="005A5B0C">
      <w:pPr>
        <w:autoSpaceDE w:val="0"/>
        <w:autoSpaceDN w:val="0"/>
        <w:adjustRightInd w:val="0"/>
        <w:jc w:val="both"/>
        <w:rPr>
          <w:rFonts w:ascii="Times New Roman" w:hAnsi="Times New Roman" w:cs="Arial"/>
        </w:rPr>
      </w:pPr>
      <w:r w:rsidRPr="00BA20B4">
        <w:rPr>
          <w:rFonts w:ascii="Times New Roman" w:hAnsi="Times New Roman" w:cs="Arial"/>
        </w:rPr>
        <w:t>El gobierno de Bogotá ha definido como prioridad</w:t>
      </w:r>
      <w:r w:rsidR="00CF673F">
        <w:rPr>
          <w:rFonts w:ascii="Times New Roman" w:hAnsi="Times New Roman" w:cs="Arial"/>
        </w:rPr>
        <w:t xml:space="preserve"> </w:t>
      </w:r>
      <w:r w:rsidRPr="00BA20B4">
        <w:rPr>
          <w:rFonts w:ascii="Times New Roman" w:hAnsi="Times New Roman" w:cs="Arial"/>
        </w:rPr>
        <w:t>la educación</w:t>
      </w:r>
      <w:r w:rsidR="00EE24E0">
        <w:rPr>
          <w:rFonts w:ascii="Times New Roman" w:hAnsi="Times New Roman" w:cs="Arial"/>
        </w:rPr>
        <w:t>,</w:t>
      </w:r>
      <w:r w:rsidR="00CF673F">
        <w:rPr>
          <w:rFonts w:ascii="Times New Roman" w:hAnsi="Times New Roman" w:cs="Arial"/>
        </w:rPr>
        <w:t xml:space="preserve"> </w:t>
      </w:r>
      <w:r w:rsidRPr="00BA20B4">
        <w:rPr>
          <w:rFonts w:ascii="Times New Roman" w:hAnsi="Times New Roman" w:cs="Arial"/>
        </w:rPr>
        <w:t>por considerarla el principal instrumento para construir equidad en la ciudad. Como lo indican teorías y estudios internacionales</w:t>
      </w:r>
      <w:r w:rsidR="00722944" w:rsidRPr="00BA20B4">
        <w:rPr>
          <w:rFonts w:ascii="Times New Roman" w:hAnsi="Times New Roman" w:cs="Arial"/>
        </w:rPr>
        <w:t>,</w:t>
      </w:r>
      <w:r w:rsidRPr="00BA20B4">
        <w:rPr>
          <w:rFonts w:ascii="Times New Roman" w:hAnsi="Times New Roman" w:cs="Arial"/>
        </w:rPr>
        <w:t xml:space="preserve"> desde muy diversas perspectivas, la educación incrementa notablemente las posibilidades de ascenso social de </w:t>
      </w:r>
      <w:r w:rsidR="00336BA2">
        <w:rPr>
          <w:rFonts w:ascii="Times New Roman" w:hAnsi="Times New Roman" w:cs="Arial"/>
        </w:rPr>
        <w:t>las personas y la equidad</w:t>
      </w:r>
      <w:r w:rsidRPr="00BA20B4">
        <w:rPr>
          <w:rFonts w:ascii="Times New Roman" w:hAnsi="Times New Roman" w:cs="Arial"/>
        </w:rPr>
        <w:t xml:space="preserve"> de un país. “Existe, pues, el convencimiento de que la educación es la estrategia fundamental para avanzar en la cohesión y en la inclusión social”</w:t>
      </w:r>
      <w:r w:rsidRPr="00BA20B4">
        <w:rPr>
          <w:rStyle w:val="Refdenotaalpie"/>
          <w:rFonts w:ascii="Times New Roman" w:hAnsi="Times New Roman" w:cs="Arial"/>
        </w:rPr>
        <w:footnoteReference w:id="2"/>
      </w:r>
      <w:r w:rsidRPr="00BA20B4">
        <w:rPr>
          <w:rFonts w:ascii="Times New Roman" w:hAnsi="Times New Roman" w:cs="Arial"/>
        </w:rPr>
        <w:t>.</w:t>
      </w:r>
    </w:p>
    <w:p w:rsidR="005A5B0C" w:rsidRPr="00BA20B4" w:rsidRDefault="005A5B0C" w:rsidP="005A5B0C">
      <w:pPr>
        <w:autoSpaceDE w:val="0"/>
        <w:autoSpaceDN w:val="0"/>
        <w:adjustRightInd w:val="0"/>
        <w:jc w:val="both"/>
        <w:rPr>
          <w:rFonts w:ascii="Times New Roman" w:hAnsi="Times New Roman" w:cs="Arial"/>
        </w:rPr>
      </w:pPr>
    </w:p>
    <w:p w:rsidR="005A5B0C" w:rsidRPr="00BA20B4" w:rsidRDefault="001E38DC" w:rsidP="005A5B0C">
      <w:pPr>
        <w:autoSpaceDE w:val="0"/>
        <w:autoSpaceDN w:val="0"/>
        <w:adjustRightInd w:val="0"/>
        <w:jc w:val="both"/>
        <w:rPr>
          <w:rFonts w:ascii="Times New Roman" w:hAnsi="Times New Roman" w:cs="Arial"/>
        </w:rPr>
      </w:pPr>
      <w:r>
        <w:rPr>
          <w:rFonts w:ascii="Times New Roman" w:hAnsi="Times New Roman" w:cs="Arial"/>
        </w:rPr>
        <w:t>E</w:t>
      </w:r>
      <w:r w:rsidR="005A5B0C" w:rsidRPr="00BA20B4">
        <w:rPr>
          <w:rFonts w:ascii="Times New Roman" w:hAnsi="Times New Roman" w:cs="Arial"/>
        </w:rPr>
        <w:t xml:space="preserve">l acceso a una </w:t>
      </w:r>
      <w:r w:rsidR="00383402" w:rsidRPr="00383402">
        <w:rPr>
          <w:rFonts w:ascii="Times New Roman" w:hAnsi="Times New Roman" w:cs="Arial"/>
          <w:b/>
        </w:rPr>
        <w:t>educación de calidad</w:t>
      </w:r>
      <w:r w:rsidR="00CF673F">
        <w:rPr>
          <w:rFonts w:ascii="Times New Roman" w:hAnsi="Times New Roman" w:cs="Arial"/>
          <w:b/>
        </w:rPr>
        <w:t xml:space="preserve"> </w:t>
      </w:r>
      <w:r w:rsidR="00586832">
        <w:rPr>
          <w:rFonts w:ascii="Times New Roman" w:hAnsi="Times New Roman" w:cs="Arial"/>
        </w:rPr>
        <w:t>desarrolla las capacidades</w:t>
      </w:r>
      <w:r w:rsidR="00764CCA" w:rsidRPr="00BA20B4">
        <w:rPr>
          <w:rFonts w:ascii="Times New Roman" w:hAnsi="Times New Roman" w:cs="Arial"/>
        </w:rPr>
        <w:t xml:space="preserve"> de l</w:t>
      </w:r>
      <w:r w:rsidR="00764CCA">
        <w:rPr>
          <w:rFonts w:ascii="Times New Roman" w:hAnsi="Times New Roman" w:cs="Arial"/>
        </w:rPr>
        <w:t>a</w:t>
      </w:r>
      <w:r w:rsidR="00764CCA" w:rsidRPr="00BA20B4">
        <w:rPr>
          <w:rFonts w:ascii="Times New Roman" w:hAnsi="Times New Roman" w:cs="Arial"/>
        </w:rPr>
        <w:t xml:space="preserve">s </w:t>
      </w:r>
      <w:r w:rsidR="00764CCA">
        <w:rPr>
          <w:rFonts w:ascii="Times New Roman" w:hAnsi="Times New Roman" w:cs="Arial"/>
        </w:rPr>
        <w:t xml:space="preserve">personas </w:t>
      </w:r>
      <w:r w:rsidR="00764CCA" w:rsidRPr="00BA20B4">
        <w:rPr>
          <w:rFonts w:ascii="Times New Roman" w:hAnsi="Times New Roman" w:cs="Arial"/>
        </w:rPr>
        <w:t>para el ejercicio pleno de derechos y para la acción responsable en torno a la participación ciudadana.</w:t>
      </w:r>
      <w:r w:rsidR="00764CCA">
        <w:rPr>
          <w:rFonts w:ascii="Times New Roman" w:hAnsi="Times New Roman" w:cs="Arial"/>
        </w:rPr>
        <w:t xml:space="preserve"> De igual forma, </w:t>
      </w:r>
      <w:r w:rsidR="005A5B0C" w:rsidRPr="00BA20B4">
        <w:rPr>
          <w:rFonts w:ascii="Times New Roman" w:hAnsi="Times New Roman" w:cs="Arial"/>
        </w:rPr>
        <w:t xml:space="preserve">determina en gran medida el acceso exitoso al mercado laboral, que </w:t>
      </w:r>
      <w:r w:rsidR="00336BA2">
        <w:rPr>
          <w:rFonts w:ascii="Times New Roman" w:hAnsi="Times New Roman" w:cs="Arial"/>
        </w:rPr>
        <w:t>es una</w:t>
      </w:r>
      <w:r w:rsidR="005A5B0C" w:rsidRPr="00BA20B4">
        <w:rPr>
          <w:rFonts w:ascii="Times New Roman" w:hAnsi="Times New Roman" w:cs="Arial"/>
        </w:rPr>
        <w:t xml:space="preserve"> herramienta que posibilita </w:t>
      </w:r>
      <w:r>
        <w:rPr>
          <w:rFonts w:ascii="Times New Roman" w:hAnsi="Times New Roman" w:cs="Arial"/>
        </w:rPr>
        <w:t xml:space="preserve">la movilidad hacia una mayor </w:t>
      </w:r>
      <w:r w:rsidR="005A5B0C" w:rsidRPr="00BA20B4">
        <w:rPr>
          <w:rFonts w:ascii="Times New Roman" w:hAnsi="Times New Roman" w:cs="Arial"/>
        </w:rPr>
        <w:t>igualdad social. Desempeña un papel multiplicador de derechos y tiene importancia para facilitar el disfrute de todos los derechos y libertades</w:t>
      </w:r>
      <w:r w:rsidR="005A5B0C" w:rsidRPr="00BA20B4">
        <w:rPr>
          <w:rStyle w:val="Refdenotaalpie"/>
          <w:rFonts w:ascii="Times New Roman" w:hAnsi="Times New Roman" w:cs="Arial"/>
        </w:rPr>
        <w:footnoteReference w:id="3"/>
      </w:r>
      <w:r w:rsidR="005A5B0C" w:rsidRPr="00BA20B4">
        <w:rPr>
          <w:rFonts w:ascii="Times New Roman" w:hAnsi="Times New Roman" w:cs="Arial"/>
        </w:rPr>
        <w:t xml:space="preserve">. En este sentido, resulta claro que para fomentar estrategias de desarrollo e integración social es preciso trabajar a favor de una distribución equitativa del conocimiento. </w:t>
      </w:r>
    </w:p>
    <w:p w:rsidR="005A5B0C" w:rsidRPr="00BA20B4" w:rsidRDefault="005A5B0C" w:rsidP="005A5B0C">
      <w:pPr>
        <w:autoSpaceDE w:val="0"/>
        <w:autoSpaceDN w:val="0"/>
        <w:adjustRightInd w:val="0"/>
        <w:jc w:val="both"/>
        <w:rPr>
          <w:rFonts w:ascii="Times New Roman" w:hAnsi="Times New Roman" w:cs="Arial"/>
        </w:rPr>
      </w:pPr>
    </w:p>
    <w:p w:rsidR="008E59EC" w:rsidRDefault="00876CB4">
      <w:pPr>
        <w:autoSpaceDE w:val="0"/>
        <w:autoSpaceDN w:val="0"/>
        <w:adjustRightInd w:val="0"/>
        <w:jc w:val="both"/>
        <w:rPr>
          <w:rFonts w:ascii="Times New Roman" w:hAnsi="Times New Roman" w:cs="Arial"/>
        </w:rPr>
      </w:pPr>
      <w:r w:rsidRPr="00DD4F78">
        <w:rPr>
          <w:rFonts w:ascii="Times New Roman" w:hAnsi="Times New Roman" w:cs="Arial"/>
        </w:rPr>
        <w:t xml:space="preserve">De acuerdo </w:t>
      </w:r>
      <w:r w:rsidR="00DD4F78">
        <w:rPr>
          <w:rFonts w:ascii="Times New Roman" w:hAnsi="Times New Roman" w:cs="Arial"/>
        </w:rPr>
        <w:t>con el</w:t>
      </w:r>
      <w:r w:rsidRPr="00DD4F78">
        <w:rPr>
          <w:rFonts w:ascii="Times New Roman" w:hAnsi="Times New Roman" w:cs="Arial"/>
        </w:rPr>
        <w:t xml:space="preserve"> último informe </w:t>
      </w:r>
      <w:r w:rsidR="00CD58DA" w:rsidRPr="00CD58DA">
        <w:rPr>
          <w:rFonts w:ascii="Times New Roman" w:hAnsi="Times New Roman" w:cs="Times New Roman"/>
          <w:szCs w:val="22"/>
        </w:rPr>
        <w:t xml:space="preserve">del </w:t>
      </w:r>
      <w:r w:rsidR="00CD58DA" w:rsidRPr="00CD58DA">
        <w:rPr>
          <w:rFonts w:ascii="Times New Roman" w:eastAsia="Times New Roman" w:hAnsi="Times New Roman" w:cs="Times New Roman"/>
          <w:szCs w:val="22"/>
          <w:lang w:val="es-CO" w:eastAsia="es-CO"/>
        </w:rPr>
        <w:t>Programa de las Naciones Unidas para el Desarrollo (PNUD)</w:t>
      </w:r>
      <w:r w:rsidRPr="00DD4F78">
        <w:rPr>
          <w:rStyle w:val="Refdenotaalpie"/>
          <w:rFonts w:ascii="Times New Roman" w:hAnsi="Times New Roman" w:cs="Arial"/>
        </w:rPr>
        <w:footnoteReference w:id="4"/>
      </w:r>
      <w:r w:rsidRPr="00DD4F78">
        <w:rPr>
          <w:rFonts w:ascii="Times New Roman" w:hAnsi="Times New Roman" w:cs="Arial"/>
        </w:rPr>
        <w:t xml:space="preserve"> para 2011</w:t>
      </w:r>
      <w:r w:rsidR="009379C8">
        <w:rPr>
          <w:rFonts w:ascii="Times New Roman" w:hAnsi="Times New Roman" w:cs="Arial"/>
        </w:rPr>
        <w:t>,</w:t>
      </w:r>
      <w:r w:rsidR="00CD58DA" w:rsidRPr="00CD58DA">
        <w:rPr>
          <w:rFonts w:ascii="Times New Roman" w:eastAsia="Times New Roman" w:hAnsi="Times New Roman" w:cs="Times New Roman"/>
          <w:szCs w:val="22"/>
          <w:lang w:val="es-CO" w:eastAsia="es-CO"/>
        </w:rPr>
        <w:t xml:space="preserve">Colombia presenta un coeficiente de Gini de 58,5, consolidándose así como el cuarto país del mundo más inequitativo en ingresos, después de Comoras, Haití y Angola. </w:t>
      </w:r>
      <w:r w:rsidRPr="00DD4F78">
        <w:rPr>
          <w:rFonts w:ascii="Times New Roman" w:hAnsi="Times New Roman" w:cs="Arial"/>
        </w:rPr>
        <w:t>El país</w:t>
      </w:r>
      <w:r w:rsidR="00CF673F">
        <w:rPr>
          <w:rFonts w:ascii="Times New Roman" w:hAnsi="Times New Roman" w:cs="Arial"/>
        </w:rPr>
        <w:t xml:space="preserve"> </w:t>
      </w:r>
      <w:r w:rsidR="007774CB" w:rsidRPr="00BA20B4">
        <w:rPr>
          <w:rFonts w:ascii="Times New Roman" w:hAnsi="Times New Roman" w:cs="Arial"/>
        </w:rPr>
        <w:t xml:space="preserve">reducirá </w:t>
      </w:r>
      <w:r w:rsidR="0077396B" w:rsidRPr="00BA20B4">
        <w:rPr>
          <w:rFonts w:ascii="Times New Roman" w:hAnsi="Times New Roman" w:cs="Arial"/>
        </w:rPr>
        <w:t>las desigualdades existentes</w:t>
      </w:r>
      <w:r w:rsidR="005A5B0C" w:rsidRPr="00BA20B4">
        <w:rPr>
          <w:rFonts w:ascii="Times New Roman" w:hAnsi="Times New Roman" w:cs="Arial"/>
        </w:rPr>
        <w:t>, y Bogotá es la ciudad en la que es posible técnica y financieramente hacerlo más pronto, cuando los niños, niñas y jóvenes pobres y ricos tengan acceso a una oferta educativa equivalente en intensidad</w:t>
      </w:r>
      <w:r w:rsidR="0044682A">
        <w:rPr>
          <w:rFonts w:ascii="Times New Roman" w:hAnsi="Times New Roman" w:cs="Arial"/>
        </w:rPr>
        <w:t xml:space="preserve"> horaria</w:t>
      </w:r>
      <w:r w:rsidR="005A5B0C" w:rsidRPr="00BA20B4">
        <w:rPr>
          <w:rFonts w:ascii="Times New Roman" w:hAnsi="Times New Roman" w:cs="Arial"/>
        </w:rPr>
        <w:t xml:space="preserve"> y calidad. E</w:t>
      </w:r>
      <w:r w:rsidR="006D3BB8">
        <w:rPr>
          <w:rFonts w:ascii="Times New Roman" w:hAnsi="Times New Roman" w:cs="Arial"/>
        </w:rPr>
        <w:t>ste sueño tomará tiempo</w:t>
      </w:r>
      <w:r w:rsidR="005A5B0C" w:rsidRPr="00BA20B4">
        <w:rPr>
          <w:rFonts w:ascii="Times New Roman" w:hAnsi="Times New Roman" w:cs="Arial"/>
        </w:rPr>
        <w:t xml:space="preserve"> para materializarse, pero no es una utopí</w:t>
      </w:r>
      <w:r w:rsidR="00336BA2">
        <w:rPr>
          <w:rFonts w:ascii="Times New Roman" w:hAnsi="Times New Roman" w:cs="Arial"/>
        </w:rPr>
        <w:t>a</w:t>
      </w:r>
      <w:r w:rsidR="005A5B0C" w:rsidRPr="00BA20B4">
        <w:rPr>
          <w:rFonts w:ascii="Times New Roman" w:hAnsi="Times New Roman" w:cs="Arial"/>
        </w:rPr>
        <w:t xml:space="preserve"> sino</w:t>
      </w:r>
      <w:r w:rsidR="00F26B3E">
        <w:rPr>
          <w:rFonts w:ascii="Times New Roman" w:hAnsi="Times New Roman" w:cs="Arial"/>
        </w:rPr>
        <w:t xml:space="preserve"> un horizonte posible</w:t>
      </w:r>
      <w:r w:rsidR="005A5B0C" w:rsidRPr="00BA20B4">
        <w:rPr>
          <w:rFonts w:ascii="Times New Roman" w:hAnsi="Times New Roman" w:cs="Arial"/>
        </w:rPr>
        <w:t>. Nuestra sociedad debe asumir y hacer efectivo el compromiso de movilizar aquellos recursos que garanticen que todas las personas puedan recibir una educación de calidad. El Plan de Desarrollo Bogotá Humana</w:t>
      </w:r>
      <w:r w:rsidR="00D05667">
        <w:rPr>
          <w:rFonts w:ascii="Times New Roman" w:hAnsi="Times New Roman" w:cs="Arial"/>
        </w:rPr>
        <w:t>,</w:t>
      </w:r>
      <w:r w:rsidR="00722944" w:rsidRPr="00BA20B4">
        <w:rPr>
          <w:rFonts w:ascii="Times New Roman" w:hAnsi="Times New Roman" w:cs="Arial"/>
        </w:rPr>
        <w:t xml:space="preserve"> partiendo de los logros alcanzados por las administraciones anteriores</w:t>
      </w:r>
      <w:r w:rsidR="00D05667">
        <w:rPr>
          <w:rFonts w:ascii="Times New Roman" w:hAnsi="Times New Roman" w:cs="Arial"/>
        </w:rPr>
        <w:t>,</w:t>
      </w:r>
      <w:r w:rsidR="005A5B0C" w:rsidRPr="00BA20B4">
        <w:rPr>
          <w:rFonts w:ascii="Times New Roman" w:hAnsi="Times New Roman" w:cs="Arial"/>
        </w:rPr>
        <w:t xml:space="preserve"> aspira</w:t>
      </w:r>
      <w:r w:rsidR="00CF673F">
        <w:rPr>
          <w:rFonts w:ascii="Times New Roman" w:hAnsi="Times New Roman" w:cs="Arial"/>
        </w:rPr>
        <w:t xml:space="preserve"> </w:t>
      </w:r>
      <w:r w:rsidR="005A5B0C" w:rsidRPr="00BA20B4">
        <w:rPr>
          <w:rFonts w:ascii="Times New Roman" w:hAnsi="Times New Roman" w:cs="Arial"/>
        </w:rPr>
        <w:t>marcar una pauta en este sentido, avanzando todo lo posible en la tarea de ofrecer educación de calidad</w:t>
      </w:r>
      <w:r w:rsidR="00CF673F">
        <w:rPr>
          <w:rFonts w:ascii="Times New Roman" w:hAnsi="Times New Roman" w:cs="Arial"/>
        </w:rPr>
        <w:t xml:space="preserve"> </w:t>
      </w:r>
      <w:r w:rsidR="000218D7">
        <w:rPr>
          <w:rFonts w:ascii="Times New Roman" w:hAnsi="Times New Roman" w:cs="Arial"/>
        </w:rPr>
        <w:t xml:space="preserve">que permita reducir las inequidades sociales. </w:t>
      </w:r>
      <w:r w:rsidR="00A60AC8">
        <w:rPr>
          <w:rFonts w:ascii="Times New Roman" w:hAnsi="Times New Roman" w:cs="Arial"/>
        </w:rPr>
        <w:t xml:space="preserve">Esta </w:t>
      </w:r>
      <w:r w:rsidR="00A81844">
        <w:rPr>
          <w:rFonts w:ascii="Times New Roman" w:hAnsi="Times New Roman" w:cs="Arial"/>
        </w:rPr>
        <w:t>labor</w:t>
      </w:r>
      <w:r w:rsidR="00CF673F">
        <w:rPr>
          <w:rFonts w:ascii="Times New Roman" w:hAnsi="Times New Roman" w:cs="Arial"/>
        </w:rPr>
        <w:t xml:space="preserve"> </w:t>
      </w:r>
      <w:r w:rsidR="00A81844">
        <w:rPr>
          <w:rFonts w:ascii="Times New Roman" w:hAnsi="Times New Roman" w:cs="Arial"/>
        </w:rPr>
        <w:t>hace ineludible</w:t>
      </w:r>
      <w:r w:rsidR="000218D7">
        <w:rPr>
          <w:rFonts w:ascii="Times New Roman" w:hAnsi="Times New Roman" w:cs="Arial"/>
        </w:rPr>
        <w:t xml:space="preserve"> el ejercicio pleno del derecho a una educación de calidad en todos los miembros de la sociedad, especialmente en </w:t>
      </w:r>
      <w:r w:rsidR="005A5B0C" w:rsidRPr="00BA20B4">
        <w:rPr>
          <w:rFonts w:ascii="Times New Roman" w:hAnsi="Times New Roman" w:cs="Arial"/>
        </w:rPr>
        <w:t xml:space="preserve">los niños, niñas y jóvenes en desventaja </w:t>
      </w:r>
      <w:r w:rsidR="00D05667">
        <w:rPr>
          <w:rFonts w:ascii="Times New Roman" w:hAnsi="Times New Roman" w:cs="Arial"/>
        </w:rPr>
        <w:t>y</w:t>
      </w:r>
      <w:r w:rsidR="005A5B0C" w:rsidRPr="00BA20B4">
        <w:rPr>
          <w:rFonts w:ascii="Times New Roman" w:hAnsi="Times New Roman" w:cs="Arial"/>
        </w:rPr>
        <w:t xml:space="preserve"> en situación de vulnerabilidad, </w:t>
      </w:r>
      <w:r w:rsidR="00A81844">
        <w:rPr>
          <w:rFonts w:ascii="Times New Roman" w:hAnsi="Times New Roman" w:cs="Arial"/>
        </w:rPr>
        <w:t>pues</w:t>
      </w:r>
      <w:r w:rsidR="00CF673F">
        <w:rPr>
          <w:rFonts w:ascii="Times New Roman" w:hAnsi="Times New Roman" w:cs="Arial"/>
        </w:rPr>
        <w:t xml:space="preserve"> </w:t>
      </w:r>
      <w:r w:rsidR="00A81844">
        <w:rPr>
          <w:rFonts w:ascii="Times New Roman" w:hAnsi="Times New Roman" w:cs="Arial"/>
        </w:rPr>
        <w:t>constituye</w:t>
      </w:r>
      <w:r w:rsidR="005A5B0C" w:rsidRPr="00BA20B4">
        <w:rPr>
          <w:rFonts w:ascii="Times New Roman" w:hAnsi="Times New Roman" w:cs="Arial"/>
        </w:rPr>
        <w:t xml:space="preserve"> la principal </w:t>
      </w:r>
      <w:r w:rsidR="005A5B0C" w:rsidRPr="00BA20B4">
        <w:rPr>
          <w:rFonts w:ascii="Times New Roman" w:hAnsi="Times New Roman" w:cs="Arial"/>
        </w:rPr>
        <w:lastRenderedPageBreak/>
        <w:t xml:space="preserve">palanca para reducir la </w:t>
      </w:r>
      <w:r w:rsidR="00A81844">
        <w:rPr>
          <w:rFonts w:ascii="Times New Roman" w:hAnsi="Times New Roman" w:cs="Arial"/>
        </w:rPr>
        <w:t>desigualdad</w:t>
      </w:r>
      <w:r w:rsidR="005A5B0C" w:rsidRPr="00BA20B4">
        <w:rPr>
          <w:rFonts w:ascii="Times New Roman" w:hAnsi="Times New Roman" w:cs="Arial"/>
        </w:rPr>
        <w:t xml:space="preserve">. </w:t>
      </w:r>
      <w:r w:rsidR="004E6871" w:rsidRPr="00BA20B4">
        <w:rPr>
          <w:rFonts w:ascii="Times New Roman" w:eastAsia="Calibri" w:hAnsi="Times New Roman" w:cs="Arial"/>
          <w:lang w:eastAsia="es-ES"/>
        </w:rPr>
        <w:t>De acuerdo con la UNESCO</w:t>
      </w:r>
      <w:r w:rsidR="004E6871" w:rsidRPr="00DD4F78">
        <w:rPr>
          <w:rStyle w:val="Refdenotaalpie"/>
          <w:rFonts w:ascii="Times New Roman" w:hAnsi="Times New Roman" w:cs="Arial"/>
        </w:rPr>
        <w:footnoteReference w:id="5"/>
      </w:r>
      <w:r w:rsidR="004E6871" w:rsidRPr="00BA20B4">
        <w:rPr>
          <w:rFonts w:ascii="Times New Roman" w:eastAsia="Calibri" w:hAnsi="Times New Roman" w:cs="Arial"/>
          <w:lang w:eastAsia="es-ES"/>
        </w:rPr>
        <w:t xml:space="preserve"> la calidad de la educación </w:t>
      </w:r>
      <w:r w:rsidR="00EE24E0">
        <w:rPr>
          <w:rFonts w:ascii="Times New Roman" w:eastAsia="Calibri" w:hAnsi="Times New Roman" w:cs="Arial"/>
          <w:lang w:eastAsia="es-ES"/>
        </w:rPr>
        <w:t>debe ser</w:t>
      </w:r>
      <w:r w:rsidR="004E6871" w:rsidRPr="00BA20B4">
        <w:rPr>
          <w:rFonts w:ascii="Times New Roman" w:eastAsia="Calibri" w:hAnsi="Times New Roman" w:cs="Arial"/>
          <w:lang w:eastAsia="es-ES"/>
        </w:rPr>
        <w:t xml:space="preserve"> un objetivo primordial de las políticas públicas</w:t>
      </w:r>
      <w:r w:rsidR="004E6871" w:rsidRPr="00BA20B4">
        <w:rPr>
          <w:rFonts w:ascii="Times New Roman" w:hAnsi="Times New Roman" w:cs="Arial"/>
          <w:lang w:eastAsia="es-ES"/>
        </w:rPr>
        <w:t xml:space="preserve"> del sector</w:t>
      </w:r>
      <w:r w:rsidR="004E6871" w:rsidRPr="00BA20B4">
        <w:rPr>
          <w:rFonts w:ascii="Times New Roman" w:eastAsia="Calibri" w:hAnsi="Times New Roman" w:cs="Arial"/>
          <w:lang w:eastAsia="es-ES"/>
        </w:rPr>
        <w:t xml:space="preserve">, </w:t>
      </w:r>
      <w:r w:rsidR="004E6871" w:rsidRPr="00BA20B4">
        <w:rPr>
          <w:rFonts w:ascii="Times New Roman" w:hAnsi="Times New Roman" w:cs="Arial"/>
          <w:lang w:eastAsia="es-ES"/>
        </w:rPr>
        <w:t>y</w:t>
      </w:r>
      <w:r w:rsidR="004E6871" w:rsidRPr="00BA20B4">
        <w:rPr>
          <w:rFonts w:ascii="Times New Roman" w:eastAsia="Calibri" w:hAnsi="Times New Roman" w:cs="Arial"/>
          <w:lang w:eastAsia="es-ES"/>
        </w:rPr>
        <w:t xml:space="preserve"> tiene como fundamento el derecho de todos los niños, niñas y jóvenes a </w:t>
      </w:r>
      <w:r w:rsidR="004E6871" w:rsidRPr="00BA20B4">
        <w:rPr>
          <w:rFonts w:ascii="Times New Roman" w:hAnsi="Times New Roman" w:cs="Arial"/>
          <w:lang w:eastAsia="es-ES"/>
        </w:rPr>
        <w:t xml:space="preserve">acceder a </w:t>
      </w:r>
      <w:r w:rsidR="004E6871" w:rsidRPr="00BA20B4">
        <w:rPr>
          <w:rFonts w:ascii="Times New Roman" w:eastAsia="Calibri" w:hAnsi="Times New Roman" w:cs="Arial"/>
          <w:lang w:eastAsia="es-ES"/>
        </w:rPr>
        <w:t xml:space="preserve">una educación </w:t>
      </w:r>
      <w:r w:rsidR="004E6871" w:rsidRPr="00BA20B4">
        <w:rPr>
          <w:rFonts w:ascii="Times New Roman" w:hAnsi="Times New Roman" w:cs="Arial"/>
          <w:lang w:eastAsia="es-ES"/>
        </w:rPr>
        <w:t xml:space="preserve">oportuna, pertinente, inclusiva, </w:t>
      </w:r>
      <w:r w:rsidR="004E6871" w:rsidRPr="00BA20B4">
        <w:rPr>
          <w:rFonts w:ascii="Times New Roman" w:eastAsia="Calibri" w:hAnsi="Times New Roman" w:cs="Arial"/>
          <w:lang w:eastAsia="es-ES"/>
        </w:rPr>
        <w:t>gratuita</w:t>
      </w:r>
      <w:r w:rsidR="004E6871" w:rsidRPr="00BA20B4">
        <w:rPr>
          <w:rFonts w:ascii="Times New Roman" w:hAnsi="Times New Roman" w:cs="Arial"/>
          <w:lang w:eastAsia="es-ES"/>
        </w:rPr>
        <w:t xml:space="preserve"> e integral</w:t>
      </w:r>
      <w:r w:rsidR="004E6871" w:rsidRPr="00BA20B4">
        <w:rPr>
          <w:rFonts w:ascii="Times New Roman" w:eastAsia="Calibri" w:hAnsi="Times New Roman" w:cs="Arial"/>
          <w:lang w:eastAsia="es-ES"/>
        </w:rPr>
        <w:t>.</w:t>
      </w:r>
    </w:p>
    <w:p w:rsidR="005A5B0C" w:rsidRPr="00BA20B4" w:rsidRDefault="005A5B0C" w:rsidP="005A5B0C">
      <w:pPr>
        <w:jc w:val="both"/>
        <w:rPr>
          <w:rFonts w:ascii="Times New Roman" w:hAnsi="Times New Roman" w:cs="Arial"/>
        </w:rPr>
      </w:pPr>
    </w:p>
    <w:p w:rsidR="005A5B0C" w:rsidRPr="00BA20B4" w:rsidRDefault="006D3BB8" w:rsidP="005A5B0C">
      <w:pPr>
        <w:jc w:val="both"/>
        <w:rPr>
          <w:rFonts w:ascii="Times New Roman" w:hAnsi="Times New Roman" w:cs="Arial"/>
        </w:rPr>
      </w:pPr>
      <w:r>
        <w:rPr>
          <w:rFonts w:ascii="Times New Roman" w:hAnsi="Times New Roman" w:cs="Arial"/>
        </w:rPr>
        <w:t>L</w:t>
      </w:r>
      <w:r w:rsidR="005A5B0C" w:rsidRPr="00BA20B4">
        <w:rPr>
          <w:rFonts w:ascii="Times New Roman" w:hAnsi="Times New Roman" w:cs="Arial"/>
        </w:rPr>
        <w:t xml:space="preserve">a Bogotá Humana </w:t>
      </w:r>
      <w:r>
        <w:rPr>
          <w:rFonts w:ascii="Times New Roman" w:hAnsi="Times New Roman" w:cs="Arial"/>
        </w:rPr>
        <w:t xml:space="preserve">entiende la educación de calidad </w:t>
      </w:r>
      <w:r w:rsidR="005A5B0C" w:rsidRPr="00BA20B4">
        <w:rPr>
          <w:rFonts w:ascii="Times New Roman" w:hAnsi="Times New Roman" w:cs="Arial"/>
        </w:rPr>
        <w:t xml:space="preserve">como </w:t>
      </w:r>
      <w:r w:rsidR="003F63D8">
        <w:rPr>
          <w:rFonts w:ascii="Times New Roman" w:hAnsi="Times New Roman" w:cs="Arial"/>
        </w:rPr>
        <w:t>un proceso educativo</w:t>
      </w:r>
      <w:r w:rsidR="004B47EB">
        <w:rPr>
          <w:rFonts w:ascii="Times New Roman" w:hAnsi="Times New Roman" w:cs="Arial"/>
        </w:rPr>
        <w:t xml:space="preserve"> integral</w:t>
      </w:r>
      <w:r w:rsidR="00CF673F">
        <w:rPr>
          <w:rFonts w:ascii="Times New Roman" w:hAnsi="Times New Roman" w:cs="Arial"/>
        </w:rPr>
        <w:t xml:space="preserve"> </w:t>
      </w:r>
      <w:r w:rsidR="003F63D8">
        <w:rPr>
          <w:rFonts w:ascii="Times New Roman" w:hAnsi="Times New Roman" w:cs="Arial"/>
        </w:rPr>
        <w:t xml:space="preserve">que genera </w:t>
      </w:r>
      <w:r w:rsidR="005A5B0C" w:rsidRPr="00BA20B4">
        <w:rPr>
          <w:rFonts w:ascii="Times New Roman" w:hAnsi="Times New Roman" w:cs="Arial"/>
        </w:rPr>
        <w:t>mayor aprendizaje de saberes académicos fundamentales y de valores</w:t>
      </w:r>
      <w:r w:rsidR="00A81844">
        <w:rPr>
          <w:rFonts w:ascii="Times New Roman" w:hAnsi="Times New Roman" w:cs="Arial"/>
        </w:rPr>
        <w:t xml:space="preserve"> para el buen vivir</w:t>
      </w:r>
      <w:r w:rsidR="00586832">
        <w:rPr>
          <w:rFonts w:ascii="Times New Roman" w:hAnsi="Times New Roman" w:cs="Arial"/>
        </w:rPr>
        <w:t xml:space="preserve">, </w:t>
      </w:r>
      <w:r>
        <w:rPr>
          <w:rFonts w:ascii="Times New Roman" w:hAnsi="Times New Roman"/>
        </w:rPr>
        <w:t>en  donde la</w:t>
      </w:r>
      <w:r w:rsidR="00586832" w:rsidRPr="00586832">
        <w:rPr>
          <w:rFonts w:ascii="Times New Roman" w:hAnsi="Times New Roman"/>
        </w:rPr>
        <w:t xml:space="preserve"> escuela y el sistema educativo formal cumplen un papel muy importante, pero también los demás agentes educativ</w:t>
      </w:r>
      <w:r>
        <w:rPr>
          <w:rFonts w:ascii="Times New Roman" w:hAnsi="Times New Roman"/>
        </w:rPr>
        <w:t xml:space="preserve">os que rodean  la cotidianidad </w:t>
      </w:r>
      <w:r w:rsidR="00586832" w:rsidRPr="00586832">
        <w:rPr>
          <w:rFonts w:ascii="Times New Roman" w:hAnsi="Times New Roman"/>
        </w:rPr>
        <w:t>social</w:t>
      </w:r>
      <w:r w:rsidR="005A5B0C" w:rsidRPr="00586832">
        <w:rPr>
          <w:rFonts w:ascii="Times New Roman" w:hAnsi="Times New Roman" w:cs="Arial"/>
        </w:rPr>
        <w:t xml:space="preserve">. </w:t>
      </w:r>
      <w:r w:rsidR="000F6967">
        <w:rPr>
          <w:rFonts w:ascii="Times New Roman" w:hAnsi="Times New Roman" w:cs="Arial"/>
        </w:rPr>
        <w:t>Se apoya</w:t>
      </w:r>
      <w:r w:rsidR="003F63D8">
        <w:rPr>
          <w:rFonts w:ascii="Times New Roman" w:hAnsi="Times New Roman" w:cs="Arial"/>
        </w:rPr>
        <w:t xml:space="preserve"> en </w:t>
      </w:r>
      <w:r w:rsidR="005A5B0C" w:rsidRPr="00BA20B4">
        <w:rPr>
          <w:rFonts w:ascii="Times New Roman" w:hAnsi="Times New Roman" w:cs="Arial"/>
        </w:rPr>
        <w:t>una pedagogía pe</w:t>
      </w:r>
      <w:r w:rsidR="00336BA2">
        <w:rPr>
          <w:rFonts w:ascii="Times New Roman" w:hAnsi="Times New Roman" w:cs="Arial"/>
        </w:rPr>
        <w:t xml:space="preserve">rtinente para los niños, niñas </w:t>
      </w:r>
      <w:r w:rsidR="005A5B0C" w:rsidRPr="00BA20B4">
        <w:rPr>
          <w:rFonts w:ascii="Times New Roman" w:hAnsi="Times New Roman" w:cs="Arial"/>
        </w:rPr>
        <w:t>y jóvenes, que los recono</w:t>
      </w:r>
      <w:r w:rsidR="003F63D8">
        <w:rPr>
          <w:rFonts w:ascii="Times New Roman" w:hAnsi="Times New Roman" w:cs="Arial"/>
        </w:rPr>
        <w:t>ce</w:t>
      </w:r>
      <w:r w:rsidR="005A5B0C" w:rsidRPr="00BA20B4">
        <w:rPr>
          <w:rFonts w:ascii="Times New Roman" w:hAnsi="Times New Roman" w:cs="Arial"/>
        </w:rPr>
        <w:t xml:space="preserve"> como protagonistas de su propio proceso de aprendizaje</w:t>
      </w:r>
      <w:r w:rsidR="003C3C53">
        <w:rPr>
          <w:rFonts w:ascii="Times New Roman" w:hAnsi="Times New Roman" w:cs="Arial"/>
        </w:rPr>
        <w:t xml:space="preserve"> </w:t>
      </w:r>
      <w:r w:rsidR="0010406C" w:rsidRPr="0010406C">
        <w:rPr>
          <w:rFonts w:ascii="Times New Roman" w:hAnsi="Times New Roman"/>
        </w:rPr>
        <w:t>y sujetos del desarrollo de sus capacidades y valores de compromiso individual y colectivo, como la justi</w:t>
      </w:r>
      <w:r w:rsidR="0010406C">
        <w:rPr>
          <w:rFonts w:ascii="Times New Roman" w:hAnsi="Times New Roman"/>
        </w:rPr>
        <w:t xml:space="preserve">cia, convivencia y solidaridad </w:t>
      </w:r>
      <w:r w:rsidR="0010406C" w:rsidRPr="0010406C">
        <w:rPr>
          <w:rFonts w:ascii="Times New Roman" w:hAnsi="Times New Roman"/>
        </w:rPr>
        <w:t>social; el comportamiento ético ciudadano; el respeto por las diversas culturas y formas de vida; la preservación de la vida en el planeta y la moderación de los niveles de consumo, entre otros</w:t>
      </w:r>
      <w:r w:rsidR="0069496D" w:rsidRPr="0010406C">
        <w:rPr>
          <w:rFonts w:ascii="Times New Roman" w:hAnsi="Times New Roman" w:cs="Arial"/>
        </w:rPr>
        <w:t>.</w:t>
      </w:r>
      <w:r w:rsidR="0069496D">
        <w:rPr>
          <w:rFonts w:ascii="Times New Roman" w:hAnsi="Times New Roman" w:cs="Arial"/>
        </w:rPr>
        <w:t xml:space="preserve"> R</w:t>
      </w:r>
      <w:r w:rsidR="000F6967">
        <w:rPr>
          <w:rFonts w:ascii="Times New Roman" w:hAnsi="Times New Roman" w:cs="Arial"/>
        </w:rPr>
        <w:t xml:space="preserve">econoce y fortalece a </w:t>
      </w:r>
      <w:r w:rsidR="000F6967" w:rsidRPr="00BA20B4">
        <w:rPr>
          <w:rFonts w:ascii="Times New Roman" w:hAnsi="Times New Roman" w:cs="Arial"/>
        </w:rPr>
        <w:t xml:space="preserve">maestros </w:t>
      </w:r>
      <w:r w:rsidR="000F6967">
        <w:rPr>
          <w:rFonts w:ascii="Times New Roman" w:hAnsi="Times New Roman" w:cs="Arial"/>
        </w:rPr>
        <w:t xml:space="preserve">y maestras como actores fundamentales en este proceso, así como a la familia </w:t>
      </w:r>
      <w:r w:rsidR="000F6967" w:rsidRPr="00BA20B4">
        <w:rPr>
          <w:rFonts w:ascii="Times New Roman" w:hAnsi="Times New Roman" w:cs="Arial"/>
        </w:rPr>
        <w:t xml:space="preserve">y </w:t>
      </w:r>
      <w:r w:rsidR="000F6967">
        <w:rPr>
          <w:rFonts w:ascii="Times New Roman" w:hAnsi="Times New Roman" w:cs="Arial"/>
        </w:rPr>
        <w:t xml:space="preserve">a la </w:t>
      </w:r>
      <w:r w:rsidR="000F6967" w:rsidRPr="00BA20B4">
        <w:rPr>
          <w:rFonts w:ascii="Times New Roman" w:hAnsi="Times New Roman" w:cs="Arial"/>
        </w:rPr>
        <w:t xml:space="preserve">ciudadanía como </w:t>
      </w:r>
      <w:r w:rsidR="000F6967">
        <w:rPr>
          <w:rFonts w:ascii="Times New Roman" w:hAnsi="Times New Roman" w:cs="Arial"/>
        </w:rPr>
        <w:t xml:space="preserve">otros </w:t>
      </w:r>
      <w:r w:rsidR="000F6967" w:rsidRPr="00BA20B4">
        <w:rPr>
          <w:rFonts w:ascii="Times New Roman" w:hAnsi="Times New Roman" w:cs="Arial"/>
        </w:rPr>
        <w:t xml:space="preserve">facilitadores </w:t>
      </w:r>
      <w:r w:rsidR="000F6967">
        <w:rPr>
          <w:rFonts w:ascii="Times New Roman" w:hAnsi="Times New Roman" w:cs="Arial"/>
        </w:rPr>
        <w:t>esenciales</w:t>
      </w:r>
      <w:r w:rsidR="0069496D">
        <w:rPr>
          <w:rFonts w:ascii="Times New Roman" w:hAnsi="Times New Roman" w:cs="Arial"/>
        </w:rPr>
        <w:t>.</w:t>
      </w:r>
    </w:p>
    <w:p w:rsidR="005A5B0C" w:rsidRPr="00BA20B4" w:rsidRDefault="005A5B0C" w:rsidP="005A5B0C">
      <w:pPr>
        <w:autoSpaceDE w:val="0"/>
        <w:autoSpaceDN w:val="0"/>
        <w:adjustRightInd w:val="0"/>
        <w:jc w:val="both"/>
        <w:rPr>
          <w:rFonts w:ascii="Times New Roman" w:hAnsi="Times New Roman" w:cs="Arial"/>
        </w:rPr>
      </w:pPr>
    </w:p>
    <w:p w:rsidR="005A5B0C" w:rsidRDefault="00F04788" w:rsidP="005A5B0C">
      <w:pPr>
        <w:autoSpaceDE w:val="0"/>
        <w:autoSpaceDN w:val="0"/>
        <w:adjustRightInd w:val="0"/>
        <w:jc w:val="both"/>
        <w:rPr>
          <w:rFonts w:ascii="Times New Roman" w:hAnsi="Times New Roman" w:cs="Arial"/>
        </w:rPr>
      </w:pPr>
      <w:r>
        <w:rPr>
          <w:rFonts w:ascii="Times New Roman" w:hAnsi="Times New Roman" w:cs="Arial"/>
        </w:rPr>
        <w:t>El sector educativo</w:t>
      </w:r>
      <w:r w:rsidR="005A5B0C" w:rsidRPr="00BA20B4">
        <w:rPr>
          <w:rFonts w:ascii="Times New Roman" w:hAnsi="Times New Roman" w:cs="Arial"/>
        </w:rPr>
        <w:t xml:space="preserve"> oficial en la ciudad ha avanzado significativamente en las últimas dos décadas: </w:t>
      </w:r>
    </w:p>
    <w:p w:rsidR="0033376D" w:rsidRPr="00BA20B4" w:rsidRDefault="0033376D" w:rsidP="005A5B0C">
      <w:pPr>
        <w:autoSpaceDE w:val="0"/>
        <w:autoSpaceDN w:val="0"/>
        <w:adjustRightInd w:val="0"/>
        <w:jc w:val="both"/>
        <w:rPr>
          <w:rFonts w:ascii="Times New Roman" w:hAnsi="Times New Roman" w:cs="Arial"/>
        </w:rPr>
      </w:pPr>
    </w:p>
    <w:p w:rsidR="005A5B0C" w:rsidRPr="00BA20B4" w:rsidRDefault="005A5B0C" w:rsidP="005A5B0C">
      <w:pPr>
        <w:pStyle w:val="Prrafodelista"/>
        <w:numPr>
          <w:ilvl w:val="0"/>
          <w:numId w:val="3"/>
        </w:numPr>
        <w:autoSpaceDE w:val="0"/>
        <w:autoSpaceDN w:val="0"/>
        <w:adjustRightInd w:val="0"/>
        <w:jc w:val="both"/>
        <w:rPr>
          <w:rFonts w:cs="Arial"/>
          <w:szCs w:val="22"/>
        </w:rPr>
      </w:pPr>
      <w:r w:rsidRPr="00BA20B4">
        <w:rPr>
          <w:rFonts w:cs="Arial"/>
          <w:szCs w:val="22"/>
          <w:lang w:val="es-MX"/>
        </w:rPr>
        <w:t xml:space="preserve">La priorización de la atención educativa ha tenido efectos </w:t>
      </w:r>
      <w:r w:rsidR="001D74DD">
        <w:rPr>
          <w:rFonts w:cs="Arial"/>
          <w:szCs w:val="22"/>
          <w:lang w:val="es-MX"/>
        </w:rPr>
        <w:t xml:space="preserve">redistributivos y </w:t>
      </w:r>
      <w:r w:rsidRPr="00BA20B4">
        <w:rPr>
          <w:rFonts w:cs="Arial"/>
          <w:szCs w:val="22"/>
          <w:lang w:val="es-MX"/>
        </w:rPr>
        <w:t xml:space="preserve">positivos en el acceso al sistema escolar por parte de la población </w:t>
      </w:r>
      <w:r w:rsidR="00DE6E4D" w:rsidRPr="00BA20B4">
        <w:rPr>
          <w:rFonts w:cs="Arial"/>
          <w:szCs w:val="22"/>
          <w:lang w:val="es-MX"/>
        </w:rPr>
        <w:t>de estratos 1 y 2</w:t>
      </w:r>
      <w:r w:rsidR="00DE6E4D">
        <w:rPr>
          <w:rFonts w:cs="Arial"/>
          <w:szCs w:val="22"/>
          <w:lang w:val="es-MX"/>
        </w:rPr>
        <w:t xml:space="preserve">, </w:t>
      </w:r>
      <w:r w:rsidRPr="00BA20B4">
        <w:rPr>
          <w:rFonts w:cs="Arial"/>
          <w:szCs w:val="22"/>
          <w:lang w:val="es-MX"/>
        </w:rPr>
        <w:t>indígena, afrocolombiana,</w:t>
      </w:r>
      <w:r w:rsidR="00CF673F">
        <w:rPr>
          <w:rFonts w:cs="Arial"/>
          <w:szCs w:val="22"/>
          <w:lang w:val="es-MX"/>
        </w:rPr>
        <w:t xml:space="preserve"> </w:t>
      </w:r>
      <w:r w:rsidRPr="00BA20B4">
        <w:rPr>
          <w:rFonts w:cs="Arial"/>
          <w:szCs w:val="22"/>
          <w:lang w:val="es-MX"/>
        </w:rPr>
        <w:t xml:space="preserve">víctima de la violencia, o con necesidades educativas especiales. </w:t>
      </w:r>
      <w:r w:rsidR="00AA4976" w:rsidRPr="00BA20B4">
        <w:rPr>
          <w:rFonts w:cs="Arial"/>
          <w:szCs w:val="22"/>
          <w:lang w:val="es-MX"/>
        </w:rPr>
        <w:t>E</w:t>
      </w:r>
      <w:r w:rsidRPr="00BA20B4">
        <w:rPr>
          <w:rFonts w:cs="Arial"/>
          <w:szCs w:val="22"/>
          <w:lang w:val="es-MX"/>
        </w:rPr>
        <w:t xml:space="preserve">l </w:t>
      </w:r>
      <w:r w:rsidR="007774CB" w:rsidRPr="00BA20B4">
        <w:rPr>
          <w:rFonts w:cs="Arial"/>
          <w:szCs w:val="22"/>
          <w:lang w:val="es-MX"/>
        </w:rPr>
        <w:t>70%</w:t>
      </w:r>
      <w:r w:rsidRPr="00BA20B4">
        <w:rPr>
          <w:rFonts w:cs="Arial"/>
          <w:szCs w:val="22"/>
        </w:rPr>
        <w:t xml:space="preserve"> de los matriculados p</w:t>
      </w:r>
      <w:r w:rsidR="001D36FC">
        <w:rPr>
          <w:rFonts w:cs="Arial"/>
          <w:szCs w:val="22"/>
        </w:rPr>
        <w:t>ertenece a</w:t>
      </w:r>
      <w:r w:rsidRPr="00BA20B4">
        <w:rPr>
          <w:rFonts w:cs="Arial"/>
          <w:szCs w:val="22"/>
        </w:rPr>
        <w:t xml:space="preserve"> los estratos 1 y 2</w:t>
      </w:r>
      <w:r w:rsidRPr="00BA20B4">
        <w:rPr>
          <w:rStyle w:val="Refdenotaalpie"/>
          <w:rFonts w:cs="Arial"/>
          <w:szCs w:val="22"/>
        </w:rPr>
        <w:footnoteReference w:id="6"/>
      </w:r>
      <w:r w:rsidR="001D36FC">
        <w:rPr>
          <w:rFonts w:cs="Arial"/>
          <w:szCs w:val="22"/>
        </w:rPr>
        <w:t>,</w:t>
      </w:r>
      <w:r w:rsidRPr="00BA20B4">
        <w:rPr>
          <w:rFonts w:cs="Arial"/>
          <w:szCs w:val="22"/>
        </w:rPr>
        <w:t xml:space="preserve">un porcentaje importante que denota la prelación en el </w:t>
      </w:r>
      <w:r w:rsidR="00AA4976" w:rsidRPr="00BA20B4">
        <w:rPr>
          <w:rFonts w:cs="Arial"/>
          <w:szCs w:val="22"/>
        </w:rPr>
        <w:t>acceso a aquellos niños, niñas</w:t>
      </w:r>
      <w:r w:rsidRPr="00BA20B4">
        <w:rPr>
          <w:rFonts w:cs="Arial"/>
          <w:szCs w:val="22"/>
        </w:rPr>
        <w:t xml:space="preserve"> </w:t>
      </w:r>
      <w:r w:rsidR="00EB70E9">
        <w:rPr>
          <w:rFonts w:cs="Arial"/>
          <w:szCs w:val="22"/>
        </w:rPr>
        <w:t xml:space="preserve">y jóvenes </w:t>
      </w:r>
      <w:r w:rsidRPr="00BA20B4">
        <w:rPr>
          <w:rFonts w:cs="Arial"/>
          <w:szCs w:val="22"/>
        </w:rPr>
        <w:t xml:space="preserve">mayormente expuestos a la exclusión, la pobreza y los efectos de la inequidad. </w:t>
      </w:r>
    </w:p>
    <w:p w:rsidR="005A5B0C" w:rsidRPr="00BA20B4" w:rsidRDefault="0010406C" w:rsidP="005A5B0C">
      <w:pPr>
        <w:pStyle w:val="Prrafodelista"/>
        <w:numPr>
          <w:ilvl w:val="0"/>
          <w:numId w:val="3"/>
        </w:numPr>
        <w:autoSpaceDE w:val="0"/>
        <w:autoSpaceDN w:val="0"/>
        <w:adjustRightInd w:val="0"/>
        <w:jc w:val="both"/>
        <w:rPr>
          <w:rFonts w:cs="Arial"/>
          <w:szCs w:val="22"/>
        </w:rPr>
      </w:pPr>
      <w:r>
        <w:rPr>
          <w:rFonts w:cs="Arial"/>
          <w:szCs w:val="22"/>
        </w:rPr>
        <w:t>Los colegios distritales vienen presentando mejores</w:t>
      </w:r>
      <w:r w:rsidR="00EB6125" w:rsidRPr="00BA20B4">
        <w:rPr>
          <w:rFonts w:cs="Arial"/>
          <w:szCs w:val="22"/>
        </w:rPr>
        <w:t xml:space="preserve"> resultados en las pruebas </w:t>
      </w:r>
      <w:r w:rsidR="00C379B9">
        <w:rPr>
          <w:rFonts w:cs="Arial"/>
          <w:szCs w:val="22"/>
        </w:rPr>
        <w:t>SABER</w:t>
      </w:r>
      <w:r w:rsidR="00DB1CFE">
        <w:rPr>
          <w:rFonts w:cs="Arial"/>
          <w:szCs w:val="22"/>
        </w:rPr>
        <w:t xml:space="preserve"> 11</w:t>
      </w:r>
      <w:r w:rsidR="00DE6FAD">
        <w:rPr>
          <w:rFonts w:cs="Arial"/>
          <w:szCs w:val="22"/>
        </w:rPr>
        <w:t xml:space="preserve">. </w:t>
      </w:r>
      <w:r w:rsidR="00DB1CFE">
        <w:rPr>
          <w:rFonts w:cs="Arial"/>
          <w:color w:val="1F1A17"/>
          <w:szCs w:val="22"/>
          <w:lang w:eastAsia="es-ES"/>
        </w:rPr>
        <w:t>Mientras que en 2008 apenas 16,9% de los colegios se encontraba en la categoría alta</w:t>
      </w:r>
      <w:r w:rsidR="00EB70E9">
        <w:rPr>
          <w:rFonts w:cs="Arial"/>
          <w:color w:val="1F1A17"/>
          <w:szCs w:val="22"/>
          <w:lang w:eastAsia="es-ES"/>
        </w:rPr>
        <w:t>,</w:t>
      </w:r>
      <w:r w:rsidR="00DB1CFE">
        <w:rPr>
          <w:rFonts w:cs="Arial"/>
          <w:color w:val="1F1A17"/>
          <w:szCs w:val="22"/>
          <w:lang w:eastAsia="es-ES"/>
        </w:rPr>
        <w:t xml:space="preserve"> en 2011 se llegó a 46,1% </w:t>
      </w:r>
      <w:r w:rsidR="005A5B0C" w:rsidRPr="00BA20B4">
        <w:rPr>
          <w:rStyle w:val="Refdenotaalpie"/>
          <w:rFonts w:cs="Arial"/>
        </w:rPr>
        <w:footnoteReference w:id="7"/>
      </w:r>
      <w:r w:rsidR="005A5B0C" w:rsidRPr="00BA20B4">
        <w:rPr>
          <w:szCs w:val="22"/>
        </w:rPr>
        <w:t>.</w:t>
      </w:r>
    </w:p>
    <w:p w:rsidR="005A5B0C" w:rsidRPr="00BA20B4" w:rsidRDefault="005A5B0C" w:rsidP="005A5B0C">
      <w:pPr>
        <w:pStyle w:val="Prrafodelista"/>
        <w:numPr>
          <w:ilvl w:val="0"/>
          <w:numId w:val="3"/>
        </w:numPr>
        <w:autoSpaceDE w:val="0"/>
        <w:autoSpaceDN w:val="0"/>
        <w:adjustRightInd w:val="0"/>
        <w:jc w:val="both"/>
        <w:rPr>
          <w:rFonts w:cs="Arial"/>
          <w:szCs w:val="22"/>
        </w:rPr>
      </w:pPr>
      <w:r w:rsidRPr="00BA20B4">
        <w:rPr>
          <w:rFonts w:cs="Arial"/>
          <w:color w:val="1F1A17"/>
          <w:szCs w:val="22"/>
          <w:lang w:eastAsia="es-ES"/>
        </w:rPr>
        <w:t xml:space="preserve">Los esfuerzos realizados en construcción, dotación y mejoramiento de </w:t>
      </w:r>
      <w:r w:rsidRPr="00BA20B4">
        <w:rPr>
          <w:rFonts w:cs="Arial"/>
          <w:szCs w:val="22"/>
        </w:rPr>
        <w:t xml:space="preserve">infraestructura educativa han repercutido en la oferta de ambientes escolares sanos, amigables y propicios para el aprendizaje. </w:t>
      </w:r>
    </w:p>
    <w:p w:rsidR="00DF409A" w:rsidRPr="00BA20B4" w:rsidRDefault="00DF409A" w:rsidP="005A5B0C">
      <w:pPr>
        <w:pStyle w:val="Prrafodelista"/>
        <w:numPr>
          <w:ilvl w:val="0"/>
          <w:numId w:val="3"/>
        </w:numPr>
        <w:autoSpaceDE w:val="0"/>
        <w:autoSpaceDN w:val="0"/>
        <w:adjustRightInd w:val="0"/>
        <w:jc w:val="both"/>
        <w:rPr>
          <w:rFonts w:cs="Arial"/>
          <w:szCs w:val="22"/>
        </w:rPr>
      </w:pPr>
      <w:r w:rsidRPr="00BA20B4">
        <w:rPr>
          <w:rFonts w:cs="Arial"/>
          <w:szCs w:val="22"/>
        </w:rPr>
        <w:t xml:space="preserve">El Distrito ha sido pionero en la universalización de la gratuidad de la educación, </w:t>
      </w:r>
      <w:r w:rsidRPr="00BA20B4">
        <w:rPr>
          <w:lang w:val="es-CO"/>
        </w:rPr>
        <w:t>garantizando el acceso a la educación pública totalmente gratuita a todos los niños, niñas y jóvenes registrados en el sistema educativo oficial.</w:t>
      </w:r>
    </w:p>
    <w:p w:rsidR="00DF409A" w:rsidRPr="00BA20B4" w:rsidRDefault="00DF409A" w:rsidP="005A5B0C">
      <w:pPr>
        <w:pStyle w:val="Prrafodelista"/>
        <w:numPr>
          <w:ilvl w:val="0"/>
          <w:numId w:val="3"/>
        </w:numPr>
        <w:autoSpaceDE w:val="0"/>
        <w:autoSpaceDN w:val="0"/>
        <w:adjustRightInd w:val="0"/>
        <w:jc w:val="both"/>
        <w:rPr>
          <w:rFonts w:cs="Arial"/>
          <w:szCs w:val="22"/>
        </w:rPr>
      </w:pPr>
      <w:r w:rsidRPr="00BA20B4">
        <w:rPr>
          <w:rFonts w:cs="Arial"/>
          <w:szCs w:val="22"/>
          <w:lang w:val="es-ES"/>
        </w:rPr>
        <w:t>Las acciones adelantadas a favor de garantizar alimentación, transporte, dotación de kits escolares, etc. han beneficiado a un número importante de estudiantes, promoviendo la permanencia dentro del sistema escolar.</w:t>
      </w:r>
    </w:p>
    <w:p w:rsidR="005A5B0C" w:rsidRPr="00BA20B4" w:rsidRDefault="005A5B0C" w:rsidP="005A5B0C">
      <w:pPr>
        <w:autoSpaceDE w:val="0"/>
        <w:autoSpaceDN w:val="0"/>
        <w:adjustRightInd w:val="0"/>
        <w:jc w:val="both"/>
        <w:rPr>
          <w:rFonts w:ascii="Times New Roman" w:hAnsi="Times New Roman" w:cs="Arial"/>
        </w:rPr>
      </w:pPr>
    </w:p>
    <w:p w:rsidR="005A5B0C" w:rsidRDefault="005A5B0C" w:rsidP="005A5B0C">
      <w:pPr>
        <w:autoSpaceDE w:val="0"/>
        <w:autoSpaceDN w:val="0"/>
        <w:adjustRightInd w:val="0"/>
        <w:jc w:val="both"/>
        <w:rPr>
          <w:rFonts w:ascii="Times New Roman" w:hAnsi="Times New Roman" w:cs="Arial"/>
        </w:rPr>
      </w:pPr>
      <w:r w:rsidRPr="00BA20B4">
        <w:rPr>
          <w:rFonts w:ascii="Times New Roman" w:hAnsi="Times New Roman" w:cs="Arial"/>
        </w:rPr>
        <w:t xml:space="preserve">No obstante, pese a estos avances, aún se presentan grandes desafíos: </w:t>
      </w:r>
    </w:p>
    <w:p w:rsidR="0033376D" w:rsidRPr="00BA20B4" w:rsidRDefault="0033376D" w:rsidP="005A5B0C">
      <w:pPr>
        <w:autoSpaceDE w:val="0"/>
        <w:autoSpaceDN w:val="0"/>
        <w:adjustRightInd w:val="0"/>
        <w:jc w:val="both"/>
        <w:rPr>
          <w:rFonts w:ascii="Times New Roman" w:hAnsi="Times New Roman" w:cs="Arial"/>
        </w:rPr>
      </w:pPr>
    </w:p>
    <w:p w:rsidR="005A5B0C" w:rsidRDefault="005A5B0C" w:rsidP="005A5B0C">
      <w:pPr>
        <w:pStyle w:val="Prrafodelista"/>
        <w:numPr>
          <w:ilvl w:val="0"/>
          <w:numId w:val="2"/>
        </w:numPr>
        <w:autoSpaceDE w:val="0"/>
        <w:autoSpaceDN w:val="0"/>
        <w:adjustRightInd w:val="0"/>
        <w:jc w:val="both"/>
        <w:rPr>
          <w:rFonts w:cs="Arial"/>
          <w:szCs w:val="22"/>
        </w:rPr>
      </w:pPr>
      <w:r w:rsidRPr="00BA20B4">
        <w:rPr>
          <w:rFonts w:cs="Arial"/>
          <w:szCs w:val="22"/>
        </w:rPr>
        <w:lastRenderedPageBreak/>
        <w:t>Una oferta aún incipiente en los extremos del ciclo educativo. Solamente el 6.3% de la oferta oficial está en la educación inicial (0 a 5 años)</w:t>
      </w:r>
      <w:r w:rsidRPr="00BA20B4">
        <w:rPr>
          <w:rStyle w:val="Refdenotaalpie"/>
          <w:rFonts w:cs="Arial"/>
          <w:szCs w:val="22"/>
        </w:rPr>
        <w:footnoteReference w:id="8"/>
      </w:r>
      <w:r w:rsidRPr="00BA20B4">
        <w:rPr>
          <w:rFonts w:cs="Arial"/>
          <w:szCs w:val="22"/>
        </w:rPr>
        <w:t xml:space="preserve"> y la educación superior (18 años en adelante) </w:t>
      </w:r>
      <w:r w:rsidR="00EB6125" w:rsidRPr="00BA20B4">
        <w:rPr>
          <w:rFonts w:cs="Arial"/>
          <w:szCs w:val="22"/>
        </w:rPr>
        <w:t>tiene una cobertura de</w:t>
      </w:r>
      <w:r w:rsidRPr="00BA20B4">
        <w:rPr>
          <w:rFonts w:cs="Arial"/>
          <w:szCs w:val="22"/>
        </w:rPr>
        <w:t xml:space="preserve"> 41.5%</w:t>
      </w:r>
      <w:r w:rsidRPr="00BA20B4">
        <w:rPr>
          <w:rStyle w:val="Refdenotaalpie"/>
          <w:rFonts w:cs="Arial"/>
          <w:szCs w:val="22"/>
        </w:rPr>
        <w:footnoteReference w:id="9"/>
      </w:r>
      <w:r w:rsidRPr="00BA20B4">
        <w:rPr>
          <w:rFonts w:cs="Arial"/>
          <w:szCs w:val="22"/>
        </w:rPr>
        <w:t xml:space="preserve">. </w:t>
      </w:r>
    </w:p>
    <w:p w:rsidR="00E93C1C" w:rsidRPr="00BA20B4" w:rsidRDefault="00E93C1C" w:rsidP="005A5B0C">
      <w:pPr>
        <w:pStyle w:val="Prrafodelista"/>
        <w:numPr>
          <w:ilvl w:val="0"/>
          <w:numId w:val="2"/>
        </w:numPr>
        <w:autoSpaceDE w:val="0"/>
        <w:autoSpaceDN w:val="0"/>
        <w:adjustRightInd w:val="0"/>
        <w:jc w:val="both"/>
        <w:rPr>
          <w:rFonts w:cs="Arial"/>
          <w:szCs w:val="22"/>
        </w:rPr>
      </w:pPr>
      <w:r w:rsidRPr="00BA20B4">
        <w:rPr>
          <w:rFonts w:cs="Arial"/>
          <w:szCs w:val="22"/>
        </w:rPr>
        <w:t>L</w:t>
      </w:r>
      <w:r w:rsidR="0061775E">
        <w:rPr>
          <w:rFonts w:cs="Arial"/>
          <w:szCs w:val="22"/>
        </w:rPr>
        <w:t xml:space="preserve">os resultados en el desarrollo de capacidades </w:t>
      </w:r>
      <w:r w:rsidR="00727D7E" w:rsidRPr="00BA20B4">
        <w:rPr>
          <w:rFonts w:cs="Arial"/>
          <w:szCs w:val="22"/>
        </w:rPr>
        <w:t xml:space="preserve">de pensamiento lógico y crítico </w:t>
      </w:r>
      <w:r w:rsidR="00727D7E">
        <w:rPr>
          <w:rFonts w:cs="Arial"/>
          <w:szCs w:val="22"/>
        </w:rPr>
        <w:t>son débiles si se comparan con el c</w:t>
      </w:r>
      <w:r w:rsidRPr="00BA20B4">
        <w:rPr>
          <w:rFonts w:cs="Arial"/>
          <w:szCs w:val="22"/>
        </w:rPr>
        <w:t>ont</w:t>
      </w:r>
      <w:r w:rsidR="00727D7E">
        <w:rPr>
          <w:rFonts w:cs="Arial"/>
          <w:szCs w:val="22"/>
        </w:rPr>
        <w:t>exto latinoamericano y global</w:t>
      </w:r>
      <w:r>
        <w:rPr>
          <w:rFonts w:cs="Arial"/>
          <w:szCs w:val="22"/>
        </w:rPr>
        <w:t>.</w:t>
      </w:r>
    </w:p>
    <w:p w:rsidR="005A5B0C" w:rsidRPr="00BA20B4" w:rsidRDefault="005A5B0C" w:rsidP="005A5B0C">
      <w:pPr>
        <w:pStyle w:val="Prrafodelista"/>
        <w:numPr>
          <w:ilvl w:val="0"/>
          <w:numId w:val="2"/>
        </w:numPr>
        <w:autoSpaceDE w:val="0"/>
        <w:autoSpaceDN w:val="0"/>
        <w:adjustRightInd w:val="0"/>
        <w:jc w:val="both"/>
        <w:rPr>
          <w:rFonts w:cs="Arial"/>
          <w:szCs w:val="22"/>
        </w:rPr>
      </w:pPr>
      <w:r w:rsidRPr="00BA20B4">
        <w:rPr>
          <w:rFonts w:cs="Arial"/>
          <w:szCs w:val="22"/>
        </w:rPr>
        <w:t>Una jornada educativa limitada que restringe el acceso de los estudiantes a un proceso pedagógico integral.</w:t>
      </w:r>
    </w:p>
    <w:p w:rsidR="005A5B0C" w:rsidRPr="00BA20B4" w:rsidRDefault="005A5B0C" w:rsidP="005A5B0C">
      <w:pPr>
        <w:pStyle w:val="Prrafodelista"/>
        <w:numPr>
          <w:ilvl w:val="0"/>
          <w:numId w:val="2"/>
        </w:numPr>
        <w:autoSpaceDE w:val="0"/>
        <w:autoSpaceDN w:val="0"/>
        <w:adjustRightInd w:val="0"/>
        <w:jc w:val="both"/>
        <w:rPr>
          <w:rFonts w:cs="Arial"/>
          <w:szCs w:val="22"/>
        </w:rPr>
      </w:pPr>
      <w:r w:rsidRPr="00BA20B4">
        <w:rPr>
          <w:rFonts w:cs="Arial"/>
          <w:szCs w:val="22"/>
        </w:rPr>
        <w:t>Una educación media poco pertinente</w:t>
      </w:r>
      <w:r w:rsidR="0061775E">
        <w:rPr>
          <w:rFonts w:cs="Arial"/>
          <w:szCs w:val="22"/>
        </w:rPr>
        <w:t xml:space="preserve">, de escasa diversidad y precaria articulación </w:t>
      </w:r>
      <w:r w:rsidRPr="00BA20B4">
        <w:rPr>
          <w:rFonts w:cs="Arial"/>
          <w:szCs w:val="22"/>
        </w:rPr>
        <w:t>con la educación superior.</w:t>
      </w:r>
    </w:p>
    <w:p w:rsidR="005A5B0C" w:rsidRPr="00BA20B4" w:rsidRDefault="005A5B0C" w:rsidP="005A5B0C">
      <w:pPr>
        <w:pStyle w:val="Prrafodelista"/>
        <w:numPr>
          <w:ilvl w:val="0"/>
          <w:numId w:val="2"/>
        </w:numPr>
        <w:autoSpaceDE w:val="0"/>
        <w:autoSpaceDN w:val="0"/>
        <w:adjustRightInd w:val="0"/>
        <w:jc w:val="both"/>
        <w:rPr>
          <w:rFonts w:cs="Arial"/>
          <w:szCs w:val="22"/>
        </w:rPr>
      </w:pPr>
      <w:r w:rsidRPr="00BA20B4">
        <w:rPr>
          <w:rFonts w:cs="Arial"/>
          <w:szCs w:val="22"/>
        </w:rPr>
        <w:t xml:space="preserve">Una notoria debilidad de la escuela para </w:t>
      </w:r>
      <w:r w:rsidR="00464FC5">
        <w:rPr>
          <w:rFonts w:cs="Arial"/>
          <w:szCs w:val="22"/>
        </w:rPr>
        <w:t xml:space="preserve"> contribuir a </w:t>
      </w:r>
      <w:r w:rsidRPr="00BA20B4">
        <w:rPr>
          <w:rFonts w:cs="Arial"/>
          <w:szCs w:val="22"/>
        </w:rPr>
        <w:t>contrarrestar los altos índices de agresión y violencia que se presenta en las realidades cotidianas de los</w:t>
      </w:r>
      <w:r w:rsidR="00191172">
        <w:rPr>
          <w:rFonts w:cs="Arial"/>
          <w:szCs w:val="22"/>
        </w:rPr>
        <w:t xml:space="preserve"> niños, niñas y </w:t>
      </w:r>
      <w:r w:rsidR="00D349D7">
        <w:rPr>
          <w:rFonts w:cs="Arial"/>
          <w:szCs w:val="22"/>
        </w:rPr>
        <w:t>jóvenes</w:t>
      </w:r>
      <w:r w:rsidRPr="00BA20B4">
        <w:rPr>
          <w:rStyle w:val="Refdenotaalpie"/>
          <w:rFonts w:cs="Arial"/>
          <w:szCs w:val="22"/>
        </w:rPr>
        <w:footnoteReference w:id="10"/>
      </w:r>
      <w:r w:rsidRPr="00BA20B4">
        <w:rPr>
          <w:rFonts w:cs="Arial"/>
          <w:szCs w:val="22"/>
          <w:lang w:val="es-ES"/>
        </w:rPr>
        <w:t>.</w:t>
      </w:r>
    </w:p>
    <w:p w:rsidR="005A5B0C" w:rsidRPr="00BA20B4" w:rsidRDefault="000B393C" w:rsidP="005A5B0C">
      <w:pPr>
        <w:pStyle w:val="Prrafodelista"/>
        <w:numPr>
          <w:ilvl w:val="0"/>
          <w:numId w:val="2"/>
        </w:numPr>
        <w:autoSpaceDE w:val="0"/>
        <w:autoSpaceDN w:val="0"/>
        <w:adjustRightInd w:val="0"/>
        <w:jc w:val="both"/>
        <w:rPr>
          <w:rFonts w:cs="Arial"/>
          <w:szCs w:val="22"/>
        </w:rPr>
      </w:pPr>
      <w:r>
        <w:rPr>
          <w:rFonts w:cs="Arial"/>
          <w:szCs w:val="22"/>
        </w:rPr>
        <w:t>La debilidad aún generaliza</w:t>
      </w:r>
      <w:r w:rsidR="000F50C0">
        <w:rPr>
          <w:rFonts w:cs="Arial"/>
          <w:szCs w:val="22"/>
        </w:rPr>
        <w:t>da</w:t>
      </w:r>
      <w:r w:rsidR="005A5B0C" w:rsidRPr="00BA20B4">
        <w:rPr>
          <w:rFonts w:cs="Arial"/>
          <w:szCs w:val="22"/>
        </w:rPr>
        <w:t xml:space="preserve"> de un enfoque pedagógico</w:t>
      </w:r>
      <w:r>
        <w:rPr>
          <w:rFonts w:cs="Arial"/>
          <w:szCs w:val="22"/>
        </w:rPr>
        <w:t xml:space="preserve"> que se base en los intereses y sensibilidades de aprendizaje de los estudiantes, en su</w:t>
      </w:r>
      <w:r w:rsidR="00F04788">
        <w:rPr>
          <w:rFonts w:cs="Arial"/>
          <w:szCs w:val="22"/>
        </w:rPr>
        <w:t xml:space="preserve"> participación activa</w:t>
      </w:r>
      <w:r>
        <w:rPr>
          <w:rFonts w:cs="Arial"/>
          <w:szCs w:val="22"/>
        </w:rPr>
        <w:t xml:space="preserve"> y su vinculación estrecha con el entorno de la ciudad</w:t>
      </w:r>
      <w:r w:rsidR="005A5B0C" w:rsidRPr="00BA20B4">
        <w:rPr>
          <w:rFonts w:cs="Arial"/>
          <w:szCs w:val="22"/>
        </w:rPr>
        <w:t>, a partir de la vida cotidiana y de las realidades y oportunidades del contexto</w:t>
      </w:r>
      <w:r w:rsidR="00727D7E">
        <w:rPr>
          <w:rFonts w:cs="Arial"/>
          <w:szCs w:val="22"/>
        </w:rPr>
        <w:t>.</w:t>
      </w:r>
    </w:p>
    <w:p w:rsidR="00FE6E67" w:rsidRDefault="005A5B0C" w:rsidP="00FE6E67">
      <w:pPr>
        <w:pStyle w:val="Prrafodelista"/>
        <w:numPr>
          <w:ilvl w:val="0"/>
          <w:numId w:val="2"/>
        </w:numPr>
        <w:autoSpaceDE w:val="0"/>
        <w:autoSpaceDN w:val="0"/>
        <w:adjustRightInd w:val="0"/>
        <w:jc w:val="both"/>
        <w:rPr>
          <w:rFonts w:cs="Arial"/>
          <w:szCs w:val="22"/>
        </w:rPr>
      </w:pPr>
      <w:r w:rsidRPr="00BA20B4">
        <w:rPr>
          <w:rFonts w:cs="Arial"/>
          <w:szCs w:val="22"/>
        </w:rPr>
        <w:t>Las dific</w:t>
      </w:r>
      <w:r w:rsidR="00464FC5">
        <w:rPr>
          <w:rFonts w:cs="Arial"/>
          <w:szCs w:val="22"/>
        </w:rPr>
        <w:t>ultades para adoptar una</w:t>
      </w:r>
      <w:r w:rsidRPr="00BA20B4">
        <w:rPr>
          <w:rFonts w:cs="Arial"/>
          <w:szCs w:val="22"/>
        </w:rPr>
        <w:t xml:space="preserve"> perspectiva de derechos en la educación, en la que se </w:t>
      </w:r>
      <w:r w:rsidR="00FE6E67">
        <w:rPr>
          <w:rFonts w:cs="Arial"/>
          <w:szCs w:val="22"/>
        </w:rPr>
        <w:t xml:space="preserve">reconozca la universalidad del derecho para todos sin ningún tipo de distinción, a la vez que se reconoce la diferencia y se educa desde la diversidad.   </w:t>
      </w:r>
    </w:p>
    <w:p w:rsidR="005A5B0C" w:rsidRPr="00BA20B4" w:rsidRDefault="00FE6E67" w:rsidP="00FE6E67">
      <w:pPr>
        <w:pStyle w:val="Prrafodelista"/>
        <w:numPr>
          <w:ilvl w:val="0"/>
          <w:numId w:val="2"/>
        </w:numPr>
        <w:autoSpaceDE w:val="0"/>
        <w:autoSpaceDN w:val="0"/>
        <w:adjustRightInd w:val="0"/>
        <w:jc w:val="both"/>
        <w:rPr>
          <w:rFonts w:cs="Arial"/>
          <w:szCs w:val="22"/>
        </w:rPr>
      </w:pPr>
      <w:r>
        <w:rPr>
          <w:rFonts w:cs="Arial"/>
          <w:szCs w:val="22"/>
        </w:rPr>
        <w:t>El poco reconocimiento atribuido a la labor docente y reflejado en sus condiciones laborales, de formación profesional y de empoderamiento social.</w:t>
      </w:r>
    </w:p>
    <w:p w:rsidR="005A5B0C" w:rsidRPr="00BA20B4" w:rsidRDefault="005A5B0C" w:rsidP="005A5B0C">
      <w:pPr>
        <w:autoSpaceDE w:val="0"/>
        <w:autoSpaceDN w:val="0"/>
        <w:adjustRightInd w:val="0"/>
        <w:jc w:val="both"/>
        <w:rPr>
          <w:rFonts w:ascii="Times New Roman" w:hAnsi="Times New Roman" w:cs="Arial"/>
        </w:rPr>
      </w:pPr>
    </w:p>
    <w:p w:rsidR="005A5B0C" w:rsidRPr="00BA20B4" w:rsidRDefault="005A5B0C" w:rsidP="005A5B0C">
      <w:pPr>
        <w:autoSpaceDE w:val="0"/>
        <w:autoSpaceDN w:val="0"/>
        <w:adjustRightInd w:val="0"/>
        <w:jc w:val="both"/>
        <w:rPr>
          <w:rFonts w:ascii="Times New Roman" w:hAnsi="Times New Roman" w:cs="Arial"/>
        </w:rPr>
      </w:pPr>
      <w:r w:rsidRPr="00BA20B4">
        <w:rPr>
          <w:rFonts w:ascii="Times New Roman" w:hAnsi="Times New Roman" w:cs="Arial"/>
        </w:rPr>
        <w:t>A los retos descritos se suma el hecho de que desde hace una década,</w:t>
      </w:r>
      <w:r w:rsidR="00D467B8">
        <w:rPr>
          <w:rFonts w:ascii="Times New Roman" w:hAnsi="Times New Roman" w:cs="Arial"/>
        </w:rPr>
        <w:t xml:space="preserve"> la </w:t>
      </w:r>
      <w:r w:rsidRPr="00BA20B4">
        <w:rPr>
          <w:rFonts w:ascii="Times New Roman" w:hAnsi="Times New Roman" w:cs="Arial"/>
        </w:rPr>
        <w:t>inversión</w:t>
      </w:r>
      <w:r w:rsidR="00D467B8">
        <w:rPr>
          <w:rFonts w:ascii="Times New Roman" w:hAnsi="Times New Roman" w:cs="Arial"/>
        </w:rPr>
        <w:t xml:space="preserve"> en educación</w:t>
      </w:r>
      <w:r w:rsidRPr="00BA20B4">
        <w:rPr>
          <w:rFonts w:ascii="Times New Roman" w:hAnsi="Times New Roman" w:cs="Arial"/>
        </w:rPr>
        <w:t xml:space="preserve"> ha crecido más lento que </w:t>
      </w:r>
      <w:r w:rsidR="00C77F10">
        <w:rPr>
          <w:rFonts w:ascii="Times New Roman" w:hAnsi="Times New Roman" w:cs="Arial"/>
        </w:rPr>
        <w:t>el PIB de la ciudad</w:t>
      </w:r>
      <w:r w:rsidRPr="00BA20B4">
        <w:rPr>
          <w:rFonts w:ascii="Times New Roman" w:hAnsi="Times New Roman" w:cs="Arial"/>
        </w:rPr>
        <w:t xml:space="preserve"> y el gasto público total, con lo que la importancia </w:t>
      </w:r>
      <w:r w:rsidR="00955733">
        <w:rPr>
          <w:rFonts w:ascii="Times New Roman" w:hAnsi="Times New Roman" w:cs="Arial"/>
        </w:rPr>
        <w:t>presupuestal</w:t>
      </w:r>
      <w:r w:rsidRPr="00BA20B4">
        <w:rPr>
          <w:rFonts w:ascii="Times New Roman" w:hAnsi="Times New Roman" w:cs="Arial"/>
        </w:rPr>
        <w:t xml:space="preserve"> relativa</w:t>
      </w:r>
      <w:r w:rsidR="00825728">
        <w:rPr>
          <w:rFonts w:ascii="Times New Roman" w:hAnsi="Times New Roman" w:cs="Arial"/>
        </w:rPr>
        <w:t xml:space="preserve"> del sector se ha reducido. El Plan de D</w:t>
      </w:r>
      <w:r w:rsidR="00D349D7">
        <w:rPr>
          <w:rFonts w:ascii="Times New Roman" w:hAnsi="Times New Roman" w:cs="Arial"/>
        </w:rPr>
        <w:t>esarrollo Bogotá Humana aspira</w:t>
      </w:r>
      <w:r w:rsidR="00C77F10">
        <w:rPr>
          <w:rFonts w:ascii="Times New Roman" w:hAnsi="Times New Roman" w:cs="Arial"/>
        </w:rPr>
        <w:t xml:space="preserve"> </w:t>
      </w:r>
      <w:r w:rsidRPr="00BA20B4">
        <w:rPr>
          <w:rFonts w:ascii="Times New Roman" w:hAnsi="Times New Roman" w:cs="Arial"/>
        </w:rPr>
        <w:t xml:space="preserve">continuar los esfuerzos realizados en las últimas décadas en materia de equidad y calidad, vigorizar las acciones en materia de acceso, cobertura y permanencia, y enfrentar los desafíos descritos. </w:t>
      </w:r>
      <w:r w:rsidRPr="005E5CDE">
        <w:rPr>
          <w:rFonts w:ascii="Times New Roman" w:hAnsi="Times New Roman" w:cs="Arial"/>
        </w:rPr>
        <w:t>Por tal razón, aumentó en 15% los recursos destinados al sector educativo</w:t>
      </w:r>
      <w:r w:rsidRPr="005E5CDE">
        <w:rPr>
          <w:rStyle w:val="Refdenotaalpie"/>
          <w:rFonts w:ascii="Times New Roman" w:hAnsi="Times New Roman" w:cs="Arial"/>
        </w:rPr>
        <w:footnoteReference w:id="11"/>
      </w:r>
      <w:r w:rsidRPr="005E5CDE">
        <w:rPr>
          <w:rFonts w:ascii="Times New Roman" w:hAnsi="Times New Roman" w:cs="Arial"/>
        </w:rPr>
        <w:t>, pro</w:t>
      </w:r>
      <w:r w:rsidR="00C77F10" w:rsidRPr="005E5CDE">
        <w:rPr>
          <w:rFonts w:ascii="Times New Roman" w:hAnsi="Times New Roman" w:cs="Arial"/>
        </w:rPr>
        <w:t>gramando</w:t>
      </w:r>
      <w:r w:rsidRPr="005E5CDE">
        <w:rPr>
          <w:rFonts w:ascii="Times New Roman" w:hAnsi="Times New Roman" w:cs="Arial"/>
        </w:rPr>
        <w:t xml:space="preserve"> una inversión anual de 3,5 billones</w:t>
      </w:r>
      <w:r w:rsidR="00233DA6" w:rsidRPr="005E5CDE">
        <w:rPr>
          <w:rFonts w:ascii="Times New Roman" w:hAnsi="Times New Roman" w:cs="Arial"/>
        </w:rPr>
        <w:t xml:space="preserve"> de pesos</w:t>
      </w:r>
      <w:r w:rsidRPr="005E5CDE">
        <w:rPr>
          <w:rFonts w:ascii="Times New Roman" w:hAnsi="Times New Roman" w:cs="Arial"/>
        </w:rPr>
        <w:t xml:space="preserve">. </w:t>
      </w:r>
      <w:r w:rsidR="005E5CDE" w:rsidRPr="005E5CDE">
        <w:rPr>
          <w:rFonts w:ascii="Times New Roman" w:hAnsi="Times New Roman"/>
        </w:rPr>
        <w:t>Estas cifras expresan el peso otorgado por la Administración Distrital al Sector de la Educación y le conceden la</w:t>
      </w:r>
      <w:r w:rsidR="00CF673F">
        <w:rPr>
          <w:rFonts w:ascii="Times New Roman" w:hAnsi="Times New Roman"/>
        </w:rPr>
        <w:t xml:space="preserve"> </w:t>
      </w:r>
      <w:r w:rsidRPr="005E5CDE">
        <w:rPr>
          <w:rFonts w:ascii="Times New Roman" w:hAnsi="Times New Roman" w:cs="Arial"/>
        </w:rPr>
        <w:t>importancia que hace muchos años no tenía.</w:t>
      </w:r>
    </w:p>
    <w:p w:rsidR="005A5B0C" w:rsidRPr="00BA20B4" w:rsidRDefault="005A5B0C" w:rsidP="005A5B0C">
      <w:pPr>
        <w:autoSpaceDE w:val="0"/>
        <w:autoSpaceDN w:val="0"/>
        <w:adjustRightInd w:val="0"/>
        <w:jc w:val="both"/>
        <w:rPr>
          <w:rFonts w:ascii="Times New Roman" w:hAnsi="Times New Roman" w:cs="Arial"/>
        </w:rPr>
      </w:pPr>
    </w:p>
    <w:p w:rsidR="005A5B0C" w:rsidRPr="00BA20B4" w:rsidRDefault="00F04788" w:rsidP="005A5B0C">
      <w:pPr>
        <w:autoSpaceDE w:val="0"/>
        <w:autoSpaceDN w:val="0"/>
        <w:adjustRightInd w:val="0"/>
        <w:jc w:val="both"/>
        <w:rPr>
          <w:rFonts w:ascii="Times New Roman" w:hAnsi="Times New Roman" w:cs="Arial"/>
        </w:rPr>
      </w:pPr>
      <w:r>
        <w:rPr>
          <w:rFonts w:ascii="Times New Roman" w:hAnsi="Times New Roman" w:cs="Arial"/>
        </w:rPr>
        <w:t>L</w:t>
      </w:r>
      <w:r w:rsidR="005A5B0C" w:rsidRPr="00BA20B4">
        <w:rPr>
          <w:rFonts w:ascii="Times New Roman" w:hAnsi="Times New Roman" w:cs="Arial"/>
        </w:rPr>
        <w:t xml:space="preserve">a </w:t>
      </w:r>
      <w:r w:rsidR="00EE2E9B">
        <w:rPr>
          <w:rFonts w:ascii="Times New Roman" w:hAnsi="Times New Roman" w:cs="Arial"/>
        </w:rPr>
        <w:t xml:space="preserve">actual </w:t>
      </w:r>
      <w:r w:rsidR="005A5B0C" w:rsidRPr="00BA20B4">
        <w:rPr>
          <w:rFonts w:ascii="Times New Roman" w:hAnsi="Times New Roman" w:cs="Arial"/>
        </w:rPr>
        <w:t>administració</w:t>
      </w:r>
      <w:r w:rsidR="00CC6081" w:rsidRPr="00BA20B4">
        <w:rPr>
          <w:rFonts w:ascii="Times New Roman" w:hAnsi="Times New Roman" w:cs="Arial"/>
        </w:rPr>
        <w:t>n</w:t>
      </w:r>
      <w:r w:rsidR="005A5B0C" w:rsidRPr="00BA20B4">
        <w:rPr>
          <w:rFonts w:ascii="Times New Roman" w:hAnsi="Times New Roman" w:cs="Arial"/>
        </w:rPr>
        <w:t xml:space="preserve"> distrital mantendrá las tendencias positivas de la gestión del sector durante l</w:t>
      </w:r>
      <w:r w:rsidR="002D0B16" w:rsidRPr="00BA20B4">
        <w:rPr>
          <w:rFonts w:ascii="Times New Roman" w:hAnsi="Times New Roman" w:cs="Arial"/>
        </w:rPr>
        <w:t>o</w:t>
      </w:r>
      <w:r w:rsidR="005A5B0C" w:rsidRPr="00BA20B4">
        <w:rPr>
          <w:rFonts w:ascii="Times New Roman" w:hAnsi="Times New Roman" w:cs="Arial"/>
        </w:rPr>
        <w:t>s últimos años y hará un especial énfasis en las siguientes acciones:</w:t>
      </w:r>
    </w:p>
    <w:p w:rsidR="005A5B0C" w:rsidRPr="00BA20B4" w:rsidRDefault="005A5B0C" w:rsidP="005A5B0C">
      <w:pPr>
        <w:autoSpaceDE w:val="0"/>
        <w:autoSpaceDN w:val="0"/>
        <w:adjustRightInd w:val="0"/>
        <w:jc w:val="both"/>
        <w:rPr>
          <w:rFonts w:ascii="Times New Roman" w:hAnsi="Times New Roman" w:cs="Arial"/>
        </w:rPr>
      </w:pPr>
    </w:p>
    <w:p w:rsidR="005A5B0C" w:rsidRPr="00BA20B4" w:rsidRDefault="005A5B0C" w:rsidP="005A5B0C">
      <w:pPr>
        <w:pStyle w:val="Prrafodelista"/>
        <w:numPr>
          <w:ilvl w:val="0"/>
          <w:numId w:val="1"/>
        </w:numPr>
        <w:jc w:val="both"/>
        <w:rPr>
          <w:rFonts w:cs="Arial"/>
          <w:szCs w:val="22"/>
        </w:rPr>
      </w:pPr>
      <w:r w:rsidRPr="00BA20B4">
        <w:rPr>
          <w:rFonts w:cs="Arial"/>
          <w:szCs w:val="22"/>
        </w:rPr>
        <w:t xml:space="preserve">Crear </w:t>
      </w:r>
      <w:r w:rsidR="00191758">
        <w:rPr>
          <w:rFonts w:cs="Arial"/>
          <w:szCs w:val="22"/>
        </w:rPr>
        <w:t>60</w:t>
      </w:r>
      <w:r w:rsidRPr="00BA20B4">
        <w:rPr>
          <w:rFonts w:cs="Arial"/>
          <w:szCs w:val="22"/>
        </w:rPr>
        <w:t xml:space="preserve">.000 cupos </w:t>
      </w:r>
      <w:r w:rsidR="00675BA1">
        <w:rPr>
          <w:rFonts w:cs="Arial"/>
          <w:szCs w:val="22"/>
        </w:rPr>
        <w:t>en</w:t>
      </w:r>
      <w:r w:rsidR="00CF673F">
        <w:rPr>
          <w:rFonts w:cs="Arial"/>
          <w:szCs w:val="22"/>
        </w:rPr>
        <w:t xml:space="preserve"> </w:t>
      </w:r>
      <w:r w:rsidRPr="00BA20B4">
        <w:rPr>
          <w:rFonts w:cs="Arial"/>
          <w:szCs w:val="22"/>
        </w:rPr>
        <w:t>educación inicial</w:t>
      </w:r>
      <w:r w:rsidR="00E92208">
        <w:rPr>
          <w:rFonts w:cs="Arial"/>
          <w:szCs w:val="22"/>
        </w:rPr>
        <w:t xml:space="preserve"> para llegar a un total de 120.000 niños y niñas atendidos</w:t>
      </w:r>
      <w:r w:rsidRPr="00BA20B4">
        <w:rPr>
          <w:rFonts w:cs="Arial"/>
          <w:szCs w:val="22"/>
        </w:rPr>
        <w:t xml:space="preserve"> en nuevos jardines infanti</w:t>
      </w:r>
      <w:r w:rsidR="00DE6FAD">
        <w:rPr>
          <w:rFonts w:cs="Arial"/>
          <w:szCs w:val="22"/>
        </w:rPr>
        <w:t xml:space="preserve">les y redes locales de atención. </w:t>
      </w:r>
      <w:r w:rsidRPr="00BA20B4">
        <w:rPr>
          <w:rFonts w:cs="Arial"/>
          <w:szCs w:val="22"/>
        </w:rPr>
        <w:t xml:space="preserve">Los primeros dos años de gobierno se aplicará una estrategia de atención integral a la primera infancia de transición, hasta completar en el cuarto año la cobertura esperada con oferta, infraestructura e instituciones de primer nivel en pleno funcionamiento. </w:t>
      </w:r>
    </w:p>
    <w:p w:rsidR="005A5B0C" w:rsidRPr="00BA20B4" w:rsidRDefault="005A5B0C" w:rsidP="005A5B0C">
      <w:pPr>
        <w:pStyle w:val="Prrafodelista"/>
        <w:numPr>
          <w:ilvl w:val="0"/>
          <w:numId w:val="1"/>
        </w:numPr>
        <w:jc w:val="both"/>
        <w:rPr>
          <w:rFonts w:cs="Arial"/>
          <w:szCs w:val="22"/>
        </w:rPr>
      </w:pPr>
      <w:r w:rsidRPr="00BA20B4">
        <w:rPr>
          <w:rFonts w:cs="Arial"/>
          <w:szCs w:val="22"/>
        </w:rPr>
        <w:lastRenderedPageBreak/>
        <w:t xml:space="preserve">Ampliar </w:t>
      </w:r>
      <w:r w:rsidRPr="004769EC">
        <w:rPr>
          <w:rFonts w:cs="Arial"/>
          <w:szCs w:val="22"/>
        </w:rPr>
        <w:t>progresivamente la jornada en los colegios distritales, hasta 8 horas efectivas diarias, con énfasis en una nueva oferta curricular centrada en</w:t>
      </w:r>
      <w:r w:rsidR="00D349D7">
        <w:rPr>
          <w:rFonts w:cs="Arial"/>
          <w:szCs w:val="22"/>
        </w:rPr>
        <w:t xml:space="preserve"> </w:t>
      </w:r>
      <w:r w:rsidR="004769EC" w:rsidRPr="004769EC">
        <w:t>dar respuesta a los intereses de aprendizaje de los estudiantes y en</w:t>
      </w:r>
      <w:r w:rsidRPr="00BA20B4">
        <w:rPr>
          <w:rFonts w:cs="Arial"/>
          <w:szCs w:val="22"/>
        </w:rPr>
        <w:t xml:space="preserve"> el aprovechamiento de la ciudad como espacio para el ejercicio de la ciudadanía, la cultura y el deporte. También se introducirán idiomas y pensamiento científico. Se trata de una nueva oferta</w:t>
      </w:r>
      <w:r w:rsidR="00614910">
        <w:rPr>
          <w:rFonts w:cs="Arial"/>
          <w:szCs w:val="22"/>
        </w:rPr>
        <w:t xml:space="preserve"> con profesores especializados que incluye</w:t>
      </w:r>
      <w:r w:rsidRPr="00BA20B4">
        <w:rPr>
          <w:rFonts w:cs="Arial"/>
          <w:szCs w:val="22"/>
        </w:rPr>
        <w:t xml:space="preserve"> alimentación escolar generalizada.</w:t>
      </w:r>
    </w:p>
    <w:p w:rsidR="005A5B0C" w:rsidRPr="00BA20B4" w:rsidRDefault="003321A7" w:rsidP="005A5B0C">
      <w:pPr>
        <w:pStyle w:val="Prrafodelista"/>
        <w:numPr>
          <w:ilvl w:val="0"/>
          <w:numId w:val="1"/>
        </w:numPr>
        <w:jc w:val="both"/>
        <w:rPr>
          <w:rFonts w:cs="Arial"/>
          <w:szCs w:val="22"/>
        </w:rPr>
      </w:pPr>
      <w:r>
        <w:rPr>
          <w:rFonts w:cs="Arial"/>
          <w:szCs w:val="22"/>
        </w:rPr>
        <w:t>Fortalecer</w:t>
      </w:r>
      <w:r w:rsidR="005A5B0C" w:rsidRPr="00BA20B4">
        <w:rPr>
          <w:rFonts w:cs="Arial"/>
          <w:szCs w:val="22"/>
        </w:rPr>
        <w:t xml:space="preserve"> los grados 10 y 11</w:t>
      </w:r>
      <w:r w:rsidR="004860BE">
        <w:rPr>
          <w:rFonts w:cs="Arial"/>
          <w:szCs w:val="22"/>
        </w:rPr>
        <w:t>,</w:t>
      </w:r>
      <w:r w:rsidR="005A5B0C" w:rsidRPr="00BA20B4">
        <w:rPr>
          <w:rFonts w:cs="Arial"/>
          <w:szCs w:val="22"/>
        </w:rPr>
        <w:t xml:space="preserve"> y crear el grado 12 </w:t>
      </w:r>
      <w:r w:rsidR="003B1851">
        <w:rPr>
          <w:rFonts w:cs="Arial"/>
          <w:szCs w:val="22"/>
        </w:rPr>
        <w:t xml:space="preserve">opcional </w:t>
      </w:r>
      <w:r w:rsidR="005A5B0C" w:rsidRPr="00BA20B4">
        <w:rPr>
          <w:rFonts w:cs="Arial"/>
          <w:szCs w:val="22"/>
        </w:rPr>
        <w:t>de educación media, como ciclo inicial de la educación superior, mediante énfasis en ciencias, humanidades y formación técnica (para llegar a un título de técnico profesional o tecnólogo, o a semestres universitarios validados desde el colegio). Se trata de una oferta con profesores especializados en docencia universitaria.</w:t>
      </w:r>
      <w:r w:rsidR="00DE01B8">
        <w:rPr>
          <w:rFonts w:cs="Arial"/>
          <w:szCs w:val="22"/>
        </w:rPr>
        <w:t xml:space="preserve"> Para ello se harán </w:t>
      </w:r>
      <w:r w:rsidR="00DE01B8" w:rsidRPr="00BA20B4">
        <w:rPr>
          <w:rFonts w:cs="Arial"/>
          <w:szCs w:val="22"/>
        </w:rPr>
        <w:t xml:space="preserve">convenios con universidades de buena calidad y </w:t>
      </w:r>
      <w:r w:rsidR="00DE01B8">
        <w:rPr>
          <w:rFonts w:cs="Arial"/>
          <w:szCs w:val="22"/>
        </w:rPr>
        <w:t xml:space="preserve">se </w:t>
      </w:r>
      <w:r w:rsidR="00DE01B8" w:rsidRPr="00BA20B4">
        <w:rPr>
          <w:rFonts w:cs="Arial"/>
          <w:szCs w:val="22"/>
        </w:rPr>
        <w:t>ampliar</w:t>
      </w:r>
      <w:r w:rsidR="00DE01B8">
        <w:rPr>
          <w:rFonts w:cs="Arial"/>
          <w:szCs w:val="22"/>
        </w:rPr>
        <w:t>á</w:t>
      </w:r>
      <w:r w:rsidR="00DE01B8" w:rsidRPr="00BA20B4">
        <w:rPr>
          <w:rFonts w:cs="Arial"/>
          <w:szCs w:val="22"/>
        </w:rPr>
        <w:t xml:space="preserve"> la oferta </w:t>
      </w:r>
      <w:r w:rsidR="00D54AA6">
        <w:rPr>
          <w:rFonts w:cs="Arial"/>
          <w:szCs w:val="22"/>
        </w:rPr>
        <w:t xml:space="preserve">en nuevas sedes </w:t>
      </w:r>
      <w:r w:rsidR="00DE01B8" w:rsidRPr="00BA20B4">
        <w:rPr>
          <w:rFonts w:cs="Arial"/>
          <w:szCs w:val="22"/>
        </w:rPr>
        <w:t>de la Universidad Distrital.</w:t>
      </w:r>
      <w:r w:rsidR="00F64EE5">
        <w:rPr>
          <w:rFonts w:cs="Arial"/>
          <w:szCs w:val="22"/>
        </w:rPr>
        <w:t xml:space="preserve"> Al final del período </w:t>
      </w:r>
      <w:r w:rsidR="00F64EE5">
        <w:t xml:space="preserve">se espera abarcar a la mayoría de los colegios con una  educación media fortalecida, diversa, </w:t>
      </w:r>
      <w:r w:rsidR="00D349D7">
        <w:t xml:space="preserve">reconocida </w:t>
      </w:r>
      <w:r w:rsidR="00F64EE5">
        <w:t>y homologable en la educación superior.</w:t>
      </w:r>
    </w:p>
    <w:p w:rsidR="00561247" w:rsidRDefault="00C35EEA" w:rsidP="005A5B0C">
      <w:pPr>
        <w:pStyle w:val="Prrafodelista"/>
        <w:numPr>
          <w:ilvl w:val="0"/>
          <w:numId w:val="1"/>
        </w:numPr>
        <w:jc w:val="both"/>
        <w:rPr>
          <w:rFonts w:cs="Arial"/>
          <w:szCs w:val="22"/>
        </w:rPr>
      </w:pPr>
      <w:r w:rsidRPr="0046039B">
        <w:t>Responder a los múltiples retos que imponen las nuevas tecnologías de información a los ciudadanos de hoy, en función de un enriquecimiento continuo de conocimientos y capacidades</w:t>
      </w:r>
      <w:r w:rsidR="00DE01B8">
        <w:t>.</w:t>
      </w:r>
    </w:p>
    <w:p w:rsidR="0077396B" w:rsidRPr="00BA20B4" w:rsidRDefault="00D234B7" w:rsidP="00D234B7">
      <w:pPr>
        <w:numPr>
          <w:ilvl w:val="0"/>
          <w:numId w:val="1"/>
        </w:numPr>
        <w:jc w:val="both"/>
        <w:rPr>
          <w:rFonts w:ascii="Times New Roman" w:hAnsi="Times New Roman" w:cs="Times New Roman"/>
          <w:i/>
        </w:rPr>
      </w:pPr>
      <w:r w:rsidRPr="00BA20B4">
        <w:rPr>
          <w:rFonts w:ascii="Times New Roman" w:hAnsi="Times New Roman" w:cs="Times New Roman"/>
        </w:rPr>
        <w:t xml:space="preserve">Promover la dignificación laboral y el reconocimiento social de la profesión docente y </w:t>
      </w:r>
      <w:r w:rsidR="001E0920">
        <w:rPr>
          <w:rFonts w:ascii="Times New Roman" w:hAnsi="Times New Roman" w:cs="Times New Roman"/>
        </w:rPr>
        <w:t xml:space="preserve">promover </w:t>
      </w:r>
      <w:r w:rsidRPr="00BA20B4">
        <w:rPr>
          <w:rFonts w:ascii="Times New Roman" w:hAnsi="Times New Roman" w:cs="Times New Roman"/>
        </w:rPr>
        <w:t xml:space="preserve">la formación de excelencia para los maestros y maestras reconociendo su propio saber. </w:t>
      </w:r>
    </w:p>
    <w:p w:rsidR="006F701D" w:rsidRPr="00C35EEA" w:rsidRDefault="006F701D" w:rsidP="00D234B7">
      <w:pPr>
        <w:numPr>
          <w:ilvl w:val="0"/>
          <w:numId w:val="1"/>
        </w:numPr>
        <w:jc w:val="both"/>
        <w:rPr>
          <w:rFonts w:ascii="Times New Roman" w:hAnsi="Times New Roman" w:cs="Times New Roman"/>
          <w:i/>
        </w:rPr>
      </w:pPr>
      <w:r w:rsidRPr="00BA20B4">
        <w:rPr>
          <w:rFonts w:ascii="Times New Roman" w:hAnsi="Times New Roman" w:cs="Times New Roman"/>
        </w:rPr>
        <w:t xml:space="preserve">Mejorar la </w:t>
      </w:r>
      <w:r w:rsidR="001E0920">
        <w:rPr>
          <w:rFonts w:ascii="Times New Roman" w:hAnsi="Times New Roman" w:cs="Times New Roman"/>
        </w:rPr>
        <w:t>gestión del sector mediante la transformación</w:t>
      </w:r>
      <w:r w:rsidR="00CF673F">
        <w:rPr>
          <w:rFonts w:ascii="Times New Roman" w:hAnsi="Times New Roman" w:cs="Times New Roman"/>
        </w:rPr>
        <w:t xml:space="preserve"> </w:t>
      </w:r>
      <w:r w:rsidR="001E0920">
        <w:rPr>
          <w:rFonts w:ascii="Times New Roman" w:hAnsi="Times New Roman" w:cs="Times New Roman"/>
        </w:rPr>
        <w:t>d</w:t>
      </w:r>
      <w:r w:rsidRPr="00BA20B4">
        <w:rPr>
          <w:rFonts w:ascii="Times New Roman" w:hAnsi="Times New Roman" w:cs="Times New Roman"/>
        </w:rPr>
        <w:t>el modelo de operación a partir de la implementación de cambios que impacten de manera integrada y armónica las distintas dimensiones de la organización en los niveles central, local</w:t>
      </w:r>
      <w:r w:rsidR="0011765C">
        <w:rPr>
          <w:rFonts w:ascii="Times New Roman" w:hAnsi="Times New Roman" w:cs="Times New Roman"/>
        </w:rPr>
        <w:t>, zonal</w:t>
      </w:r>
      <w:r w:rsidRPr="00BA20B4">
        <w:rPr>
          <w:rFonts w:ascii="Times New Roman" w:hAnsi="Times New Roman" w:cs="Times New Roman"/>
        </w:rPr>
        <w:t xml:space="preserve"> e institucional.</w:t>
      </w:r>
    </w:p>
    <w:p w:rsidR="00C35EEA" w:rsidRDefault="00C35EEA" w:rsidP="00C35EEA">
      <w:pPr>
        <w:pStyle w:val="Prrafodelista"/>
        <w:numPr>
          <w:ilvl w:val="0"/>
          <w:numId w:val="1"/>
        </w:numPr>
        <w:jc w:val="both"/>
      </w:pPr>
      <w:r w:rsidRPr="006C6E12">
        <w:t xml:space="preserve">Contribuir a la tarea de aprender a vivir juntos </w:t>
      </w:r>
      <w:r>
        <w:t xml:space="preserve">desarrollando la capacidad de comprender al otro y de reconocer la necesidad humana de socialización respetuosa y cooperativa, </w:t>
      </w:r>
      <w:r w:rsidRPr="006C6E12">
        <w:t>mediante estrategias de inclusión, ciudadanía y convivencia.</w:t>
      </w:r>
    </w:p>
    <w:p w:rsidR="00C35EEA" w:rsidRPr="006C6E12" w:rsidRDefault="00C35EEA" w:rsidP="00C35EEA">
      <w:pPr>
        <w:pStyle w:val="Prrafodelista"/>
        <w:numPr>
          <w:ilvl w:val="0"/>
          <w:numId w:val="1"/>
        </w:numPr>
        <w:jc w:val="both"/>
      </w:pPr>
      <w:r>
        <w:t xml:space="preserve">Desarrollar un currículo que reconozca al ser humano en todas sus dimensiones (física, racional, social, emocional y espiritualmente), que establezca sus necesidades de aprendizaje de acuerdo a las diferentes etapas de crecimiento, y que le ayude a encontrar su proyecto de vida. </w:t>
      </w:r>
    </w:p>
    <w:p w:rsidR="00CC6081" w:rsidRPr="00BA20B4" w:rsidRDefault="00CC6081" w:rsidP="005A5B0C">
      <w:pPr>
        <w:jc w:val="both"/>
        <w:rPr>
          <w:rFonts w:ascii="Times New Roman" w:hAnsi="Times New Roman" w:cs="Times New Roman"/>
        </w:rPr>
      </w:pPr>
    </w:p>
    <w:p w:rsidR="00886BCB" w:rsidRPr="00BA20B4" w:rsidRDefault="00CC6081" w:rsidP="00886BCB">
      <w:pPr>
        <w:jc w:val="both"/>
        <w:rPr>
          <w:rFonts w:ascii="Times New Roman" w:hAnsi="Times New Roman" w:cs="Arial"/>
        </w:rPr>
      </w:pPr>
      <w:r w:rsidRPr="00BA20B4">
        <w:rPr>
          <w:rFonts w:ascii="Times New Roman" w:hAnsi="Times New Roman" w:cs="Arial"/>
        </w:rPr>
        <w:t>Estas acciones prioritarias constituyen las apuestas centrales del sector educativo, las cuales se ejecutarán en el marco del plan sectorial</w:t>
      </w:r>
      <w:r w:rsidR="00986A5D" w:rsidRPr="00BA20B4">
        <w:rPr>
          <w:rStyle w:val="Refdenotaalpie"/>
          <w:rFonts w:ascii="Times New Roman" w:hAnsi="Times New Roman" w:cs="Arial"/>
        </w:rPr>
        <w:footnoteReference w:id="12"/>
      </w:r>
      <w:r w:rsidRPr="00BA20B4">
        <w:rPr>
          <w:rFonts w:ascii="Times New Roman" w:hAnsi="Times New Roman" w:cs="Arial"/>
        </w:rPr>
        <w:t xml:space="preserve"> que se presenta a la ciudad y a la comunidad educativa. El plan sectorial es el resultado de un proceso de planificación</w:t>
      </w:r>
      <w:r w:rsidR="000F50C0">
        <w:rPr>
          <w:rFonts w:ascii="Times New Roman" w:hAnsi="Times New Roman" w:cs="Arial"/>
        </w:rPr>
        <w:t>, que incluyó la participación activa del sector mediante jornadas de socialización</w:t>
      </w:r>
      <w:r w:rsidR="00F2458D" w:rsidRPr="00BA20B4">
        <w:rPr>
          <w:rStyle w:val="Refdenotaalpie"/>
          <w:rFonts w:ascii="Times New Roman" w:hAnsi="Times New Roman" w:cs="Arial"/>
        </w:rPr>
        <w:footnoteReference w:id="13"/>
      </w:r>
      <w:r w:rsidR="000F50C0">
        <w:rPr>
          <w:rFonts w:ascii="Times New Roman" w:hAnsi="Times New Roman" w:cs="Arial"/>
        </w:rPr>
        <w:t>,</w:t>
      </w:r>
      <w:r w:rsidRPr="00BA20B4">
        <w:rPr>
          <w:rFonts w:ascii="Times New Roman" w:hAnsi="Times New Roman" w:cs="Arial"/>
        </w:rPr>
        <w:t xml:space="preserve"> que se concreta en un documento guía para la acción que cumple diversos papeles: a) Es un ejercicio de </w:t>
      </w:r>
      <w:r w:rsidRPr="00BA20B4">
        <w:rPr>
          <w:rFonts w:ascii="Times New Roman" w:hAnsi="Times New Roman" w:cs="Arial"/>
        </w:rPr>
        <w:lastRenderedPageBreak/>
        <w:t xml:space="preserve">planeación que </w:t>
      </w:r>
      <w:r w:rsidR="00383402" w:rsidRPr="00121327">
        <w:rPr>
          <w:rFonts w:ascii="Times New Roman" w:hAnsi="Times New Roman" w:cs="Arial"/>
        </w:rPr>
        <w:t>precisa</w:t>
      </w:r>
      <w:r w:rsidR="00F04788">
        <w:rPr>
          <w:rFonts w:ascii="Times New Roman" w:hAnsi="Times New Roman" w:cs="Arial"/>
        </w:rPr>
        <w:t xml:space="preserve"> y explica</w:t>
      </w:r>
      <w:r w:rsidRPr="00BA20B4">
        <w:rPr>
          <w:rFonts w:ascii="Times New Roman" w:hAnsi="Times New Roman" w:cs="Arial"/>
        </w:rPr>
        <w:t xml:space="preserve"> las decisiones tomadas en el Plan Distrital de Desarrollo, Bogotá Humana y las articula con la gestión y los proyectos de inversión de la Secretaría de Educación y las otras entidades</w:t>
      </w:r>
      <w:r w:rsidR="00CF673F">
        <w:rPr>
          <w:rFonts w:ascii="Times New Roman" w:hAnsi="Times New Roman" w:cs="Arial"/>
        </w:rPr>
        <w:t xml:space="preserve"> </w:t>
      </w:r>
      <w:r w:rsidRPr="00BA20B4">
        <w:rPr>
          <w:rFonts w:ascii="Times New Roman" w:hAnsi="Times New Roman" w:cs="Arial"/>
        </w:rPr>
        <w:t xml:space="preserve">del sector; b) Es una herramienta que orienta el funcionamiento de las entidades y ofrece metas e indicadores para el control directivo, que comprenden desde las finalidades e impactos, pasando por los bienes y servicios ofrecidos hasta </w:t>
      </w:r>
      <w:r w:rsidR="00AA4976" w:rsidRPr="00BA20B4">
        <w:rPr>
          <w:rFonts w:ascii="Times New Roman" w:hAnsi="Times New Roman" w:cs="Arial"/>
        </w:rPr>
        <w:t xml:space="preserve">la </w:t>
      </w:r>
      <w:r w:rsidR="001E0920">
        <w:rPr>
          <w:rFonts w:ascii="Times New Roman" w:hAnsi="Times New Roman" w:cs="Arial"/>
        </w:rPr>
        <w:t xml:space="preserve"> efectividad, la </w:t>
      </w:r>
      <w:r w:rsidR="00AA4976" w:rsidRPr="00BA20B4">
        <w:rPr>
          <w:rFonts w:ascii="Times New Roman" w:hAnsi="Times New Roman" w:cs="Arial"/>
        </w:rPr>
        <w:t xml:space="preserve">eficiencia y la transparencia en la </w:t>
      </w:r>
      <w:r w:rsidRPr="00BA20B4">
        <w:rPr>
          <w:rFonts w:ascii="Times New Roman" w:hAnsi="Times New Roman" w:cs="Arial"/>
        </w:rPr>
        <w:t>gestión; c) Es un instrumento de articulación de las acciones de las distintas dependencias</w:t>
      </w:r>
      <w:r w:rsidR="001E0920">
        <w:rPr>
          <w:rFonts w:ascii="Times New Roman" w:hAnsi="Times New Roman" w:cs="Arial"/>
        </w:rPr>
        <w:t xml:space="preserve"> de la Secretaría de Educación,</w:t>
      </w:r>
      <w:r w:rsidRPr="00BA20B4">
        <w:rPr>
          <w:rFonts w:ascii="Times New Roman" w:hAnsi="Times New Roman" w:cs="Arial"/>
        </w:rPr>
        <w:t xml:space="preserve"> de las entidades sectoriales</w:t>
      </w:r>
      <w:r w:rsidR="001E0920">
        <w:rPr>
          <w:rFonts w:ascii="Times New Roman" w:hAnsi="Times New Roman" w:cs="Arial"/>
        </w:rPr>
        <w:t xml:space="preserve"> y entre sectores de la administración distrital</w:t>
      </w:r>
      <w:r w:rsidRPr="00BA20B4">
        <w:rPr>
          <w:rFonts w:ascii="Times New Roman" w:hAnsi="Times New Roman" w:cs="Arial"/>
        </w:rPr>
        <w:t>; d) Es una herramienta necesaria e i</w:t>
      </w:r>
      <w:r w:rsidR="003C59A3">
        <w:rPr>
          <w:rFonts w:ascii="Times New Roman" w:hAnsi="Times New Roman" w:cs="Arial"/>
        </w:rPr>
        <w:t>mportante de transparencia frente a</w:t>
      </w:r>
      <w:r w:rsidRPr="00BA20B4">
        <w:rPr>
          <w:rFonts w:ascii="Times New Roman" w:hAnsi="Times New Roman" w:cs="Arial"/>
        </w:rPr>
        <w:t xml:space="preserve"> la ciudadanía en la medida en que es un ejercicio de información y sobre todo de explicación de la interpretación que hace la administración del sector y de las decisiones tomadas, al tiempo que un medio para hacer seguimiento y control ciudadano</w:t>
      </w:r>
      <w:r w:rsidR="000F50C0">
        <w:rPr>
          <w:rFonts w:ascii="Times New Roman" w:hAnsi="Times New Roman" w:cs="Arial"/>
        </w:rPr>
        <w:t xml:space="preserve">. </w:t>
      </w:r>
      <w:r w:rsidR="00886BCB">
        <w:rPr>
          <w:rFonts w:ascii="Times New Roman" w:hAnsi="Times New Roman" w:cs="Arial"/>
        </w:rPr>
        <w:t xml:space="preserve">Desde esta perspectiva, el Plan Sectorial que se presenta a continuación es el referente de la política pública diseñada y desarrollada en el sector de la educación entre 2012 y 2016 a favor de una Bogotá cada vez más humana. </w:t>
      </w:r>
    </w:p>
    <w:p w:rsidR="005A5B0C" w:rsidRPr="00BA20B4" w:rsidRDefault="005A5B0C" w:rsidP="005A5B0C">
      <w:pPr>
        <w:jc w:val="both"/>
        <w:rPr>
          <w:rFonts w:ascii="Times New Roman" w:hAnsi="Times New Roman" w:cs="Arial"/>
        </w:rPr>
      </w:pPr>
    </w:p>
    <w:p w:rsidR="005A5B0C" w:rsidRPr="00BA20B4" w:rsidRDefault="005A5B0C" w:rsidP="005A5B0C">
      <w:pPr>
        <w:pStyle w:val="Default"/>
        <w:rPr>
          <w:rFonts w:ascii="Times New Roman" w:hAnsi="Times New Roman"/>
          <w:b/>
          <w:bCs/>
          <w:sz w:val="22"/>
          <w:szCs w:val="22"/>
          <w:u w:val="single"/>
        </w:rPr>
      </w:pPr>
    </w:p>
    <w:p w:rsidR="005A5B0C" w:rsidRPr="00BA20B4" w:rsidRDefault="005A5B0C" w:rsidP="005A5B0C">
      <w:pPr>
        <w:pStyle w:val="Default"/>
        <w:rPr>
          <w:rFonts w:ascii="Times New Roman" w:hAnsi="Times New Roman"/>
          <w:b/>
          <w:bCs/>
          <w:sz w:val="22"/>
          <w:szCs w:val="22"/>
          <w:u w:val="single"/>
        </w:rPr>
      </w:pPr>
    </w:p>
    <w:p w:rsidR="005A5B0C" w:rsidRPr="00BA20B4" w:rsidRDefault="005A5B0C" w:rsidP="005A5B0C">
      <w:pPr>
        <w:pStyle w:val="Default"/>
        <w:jc w:val="right"/>
        <w:rPr>
          <w:rFonts w:ascii="Times New Roman" w:hAnsi="Times New Roman"/>
          <w:bCs/>
          <w:sz w:val="22"/>
          <w:szCs w:val="22"/>
        </w:rPr>
      </w:pPr>
      <w:r w:rsidRPr="00BA20B4">
        <w:rPr>
          <w:rFonts w:ascii="Times New Roman" w:hAnsi="Times New Roman"/>
          <w:bCs/>
          <w:sz w:val="22"/>
          <w:szCs w:val="22"/>
        </w:rPr>
        <w:t xml:space="preserve">Oscar Sánchez </w:t>
      </w:r>
    </w:p>
    <w:p w:rsidR="005A5B0C" w:rsidRPr="00BA20B4" w:rsidRDefault="005A5B0C" w:rsidP="005A5B0C">
      <w:pPr>
        <w:pStyle w:val="Default"/>
        <w:jc w:val="right"/>
        <w:rPr>
          <w:rFonts w:ascii="Times New Roman" w:hAnsi="Times New Roman"/>
          <w:bCs/>
          <w:sz w:val="22"/>
          <w:szCs w:val="22"/>
        </w:rPr>
      </w:pPr>
      <w:r w:rsidRPr="00BA20B4">
        <w:rPr>
          <w:rFonts w:ascii="Times New Roman" w:hAnsi="Times New Roman"/>
          <w:bCs/>
          <w:sz w:val="22"/>
          <w:szCs w:val="22"/>
        </w:rPr>
        <w:t>Secretario de Educación</w:t>
      </w:r>
    </w:p>
    <w:p w:rsidR="005A5B0C" w:rsidRPr="00BA20B4" w:rsidRDefault="005A5B0C" w:rsidP="005A5B0C">
      <w:pPr>
        <w:pStyle w:val="Default"/>
        <w:rPr>
          <w:rFonts w:ascii="Times New Roman" w:hAnsi="Times New Roman"/>
          <w:b/>
          <w:bCs/>
          <w:sz w:val="22"/>
          <w:szCs w:val="22"/>
          <w:u w:val="single"/>
        </w:rPr>
      </w:pPr>
    </w:p>
    <w:p w:rsidR="005A5B0C" w:rsidRPr="00BA20B4" w:rsidRDefault="005A5B0C" w:rsidP="005A5B0C">
      <w:pPr>
        <w:rPr>
          <w:rFonts w:ascii="Times New Roman" w:hAnsi="Times New Roman"/>
        </w:rPr>
      </w:pPr>
    </w:p>
    <w:p w:rsidR="005A5B0C" w:rsidRPr="00BA20B4" w:rsidRDefault="004E2466" w:rsidP="005A5B0C">
      <w:pPr>
        <w:pStyle w:val="Ttulo1"/>
        <w:rPr>
          <w:rFonts w:ascii="Times New Roman" w:hAnsi="Times New Roman"/>
        </w:rPr>
      </w:pPr>
      <w:bookmarkStart w:id="2" w:name="_Toc334448995"/>
      <w:r>
        <w:rPr>
          <w:rFonts w:ascii="Times New Roman" w:hAnsi="Times New Roman"/>
        </w:rPr>
        <w:br w:type="page"/>
      </w:r>
      <w:bookmarkStart w:id="3" w:name="_Toc362358031"/>
      <w:r w:rsidR="005A5B0C" w:rsidRPr="00BA20B4">
        <w:rPr>
          <w:rFonts w:ascii="Times New Roman" w:hAnsi="Times New Roman"/>
        </w:rPr>
        <w:lastRenderedPageBreak/>
        <w:t xml:space="preserve">1. </w:t>
      </w:r>
      <w:bookmarkEnd w:id="2"/>
      <w:r w:rsidR="005A5B0C" w:rsidRPr="00BA20B4">
        <w:rPr>
          <w:rFonts w:ascii="Times New Roman" w:hAnsi="Times New Roman"/>
        </w:rPr>
        <w:t xml:space="preserve">MARCO </w:t>
      </w:r>
      <w:r w:rsidR="0011765C">
        <w:rPr>
          <w:rFonts w:ascii="Times New Roman" w:hAnsi="Times New Roman"/>
        </w:rPr>
        <w:t>CONCEPTUAL Y NORMATIVO</w:t>
      </w:r>
      <w:bookmarkEnd w:id="3"/>
    </w:p>
    <w:p w:rsidR="005A5B0C" w:rsidRPr="00BA20B4" w:rsidRDefault="005A5B0C" w:rsidP="005A5B0C">
      <w:pPr>
        <w:pStyle w:val="Default"/>
        <w:jc w:val="both"/>
        <w:rPr>
          <w:rFonts w:ascii="Times New Roman" w:hAnsi="Times New Roman" w:cstheme="minorBidi"/>
          <w:color w:val="auto"/>
          <w:sz w:val="22"/>
          <w:szCs w:val="22"/>
        </w:rPr>
      </w:pPr>
    </w:p>
    <w:p w:rsidR="00AC5AAA" w:rsidRPr="00BA20B4" w:rsidRDefault="00E97C85" w:rsidP="00DC6C4F">
      <w:pPr>
        <w:pStyle w:val="Ttulo3"/>
        <w:rPr>
          <w:rFonts w:ascii="Times New Roman" w:hAnsi="Times New Roman"/>
        </w:rPr>
      </w:pPr>
      <w:bookmarkStart w:id="4" w:name="_Toc362358032"/>
      <w:r w:rsidRPr="00DC6C4F">
        <w:rPr>
          <w:rFonts w:ascii="Times New Roman" w:hAnsi="Times New Roman"/>
        </w:rPr>
        <w:t xml:space="preserve">1.1. </w:t>
      </w:r>
      <w:r w:rsidR="00082980">
        <w:rPr>
          <w:rFonts w:ascii="Times New Roman" w:hAnsi="Times New Roman"/>
        </w:rPr>
        <w:t xml:space="preserve">Equidad con calidad de la educación: excelencia académica y </w:t>
      </w:r>
      <w:r w:rsidR="00AC5AAA" w:rsidRPr="00DC6C4F">
        <w:rPr>
          <w:rFonts w:ascii="Times New Roman" w:hAnsi="Times New Roman"/>
        </w:rPr>
        <w:t>formación</w:t>
      </w:r>
      <w:r w:rsidR="00082980">
        <w:rPr>
          <w:rFonts w:ascii="Times New Roman" w:hAnsi="Times New Roman"/>
        </w:rPr>
        <w:t xml:space="preserve"> integral</w:t>
      </w:r>
      <w:r w:rsidR="00AC5AAA" w:rsidRPr="00DC6C4F">
        <w:rPr>
          <w:rFonts w:ascii="Times New Roman" w:hAnsi="Times New Roman"/>
        </w:rPr>
        <w:t xml:space="preserve"> para </w:t>
      </w:r>
      <w:r w:rsidR="00082980">
        <w:rPr>
          <w:rFonts w:ascii="Times New Roman" w:hAnsi="Times New Roman"/>
        </w:rPr>
        <w:t>una vida plena</w:t>
      </w:r>
      <w:bookmarkEnd w:id="4"/>
    </w:p>
    <w:p w:rsidR="000A2012" w:rsidRPr="00BA20B4" w:rsidRDefault="000A2012" w:rsidP="005A5B0C">
      <w:pPr>
        <w:pStyle w:val="Default"/>
        <w:jc w:val="both"/>
        <w:rPr>
          <w:rFonts w:ascii="Times New Roman" w:hAnsi="Times New Roman" w:cstheme="minorBidi"/>
          <w:color w:val="auto"/>
          <w:sz w:val="22"/>
          <w:szCs w:val="22"/>
        </w:rPr>
      </w:pPr>
    </w:p>
    <w:p w:rsidR="000A2012" w:rsidRPr="00BA20B4" w:rsidRDefault="000A2012" w:rsidP="000A2012">
      <w:pPr>
        <w:jc w:val="both"/>
        <w:rPr>
          <w:rFonts w:ascii="Times New Roman" w:hAnsi="Times New Roman" w:cs="Times New Roman"/>
          <w:b/>
        </w:rPr>
      </w:pPr>
      <w:r w:rsidRPr="00BA20B4">
        <w:rPr>
          <w:rFonts w:ascii="Times New Roman" w:hAnsi="Times New Roman" w:cs="Times New Roman"/>
          <w:b/>
        </w:rPr>
        <w:t>La educación como derecho y su relación con el desarrollo humano</w:t>
      </w:r>
    </w:p>
    <w:p w:rsidR="000A2012" w:rsidRPr="00BA20B4" w:rsidRDefault="000A2012" w:rsidP="000A2012">
      <w:pPr>
        <w:jc w:val="both"/>
        <w:rPr>
          <w:rFonts w:ascii="Times New Roman" w:hAnsi="Times New Roman" w:cs="Times New Roman"/>
        </w:rPr>
      </w:pPr>
    </w:p>
    <w:p w:rsidR="000A2012" w:rsidRPr="00BA20B4" w:rsidRDefault="000A2012" w:rsidP="000A2012">
      <w:pPr>
        <w:autoSpaceDE w:val="0"/>
        <w:autoSpaceDN w:val="0"/>
        <w:adjustRightInd w:val="0"/>
        <w:jc w:val="both"/>
        <w:rPr>
          <w:rFonts w:ascii="Times New Roman" w:hAnsi="Times New Roman" w:cs="Times New Roman"/>
        </w:rPr>
      </w:pPr>
      <w:r w:rsidRPr="00BA20B4">
        <w:rPr>
          <w:rFonts w:ascii="Times New Roman" w:hAnsi="Times New Roman" w:cs="Times New Roman"/>
        </w:rPr>
        <w:t>La Declaración Universal de Derechos Humanos de 1948, como instrumento sustantivo de los derechos básicos d</w:t>
      </w:r>
      <w:r w:rsidRPr="00BA20B4">
        <w:rPr>
          <w:rFonts w:ascii="Times New Roman" w:hAnsi="Times New Roman" w:cs="Times New Roman"/>
          <w:color w:val="000000"/>
          <w:shd w:val="clear" w:color="auto" w:fill="FFFFFF"/>
        </w:rPr>
        <w:t>e carácter civil, político, social, económico y cultural</w:t>
      </w:r>
      <w:r w:rsidRPr="00BA20B4">
        <w:rPr>
          <w:rFonts w:ascii="Times New Roman" w:hAnsi="Times New Roman" w:cs="Times New Roman"/>
        </w:rPr>
        <w:t>, reconoce a la educación como derecho humano fundamental para todas las personas</w:t>
      </w:r>
      <w:r w:rsidRPr="00BA20B4">
        <w:rPr>
          <w:rStyle w:val="Refdenotaalpie"/>
          <w:rFonts w:ascii="Times New Roman" w:hAnsi="Times New Roman"/>
        </w:rPr>
        <w:footnoteReference w:id="14"/>
      </w:r>
      <w:r w:rsidRPr="00BA20B4">
        <w:rPr>
          <w:rFonts w:ascii="Times New Roman" w:hAnsi="Times New Roman" w:cs="Times New Roman"/>
        </w:rPr>
        <w:t>. Esta concepción se reafirma en otros instrumentos internacionales</w:t>
      </w:r>
      <w:r w:rsidRPr="00BA20B4">
        <w:rPr>
          <w:rStyle w:val="Refdenotaalpie"/>
          <w:rFonts w:ascii="Times New Roman" w:hAnsi="Times New Roman"/>
        </w:rPr>
        <w:footnoteReference w:id="15"/>
      </w:r>
      <w:r w:rsidRPr="00BA20B4">
        <w:rPr>
          <w:rFonts w:ascii="Times New Roman" w:hAnsi="Times New Roman" w:cs="Times New Roman"/>
        </w:rPr>
        <w:t xml:space="preserve"> que detallan el alcance de la educación como derecho humano, determinan su papel particular como </w:t>
      </w:r>
      <w:r w:rsidR="00F51393">
        <w:rPr>
          <w:rFonts w:ascii="Times New Roman" w:hAnsi="Times New Roman" w:cs="Times New Roman"/>
        </w:rPr>
        <w:t>dimensión</w:t>
      </w:r>
      <w:r w:rsidRPr="00BA20B4">
        <w:rPr>
          <w:rFonts w:ascii="Times New Roman" w:hAnsi="Times New Roman" w:cs="Times New Roman"/>
        </w:rPr>
        <w:t xml:space="preserve"> que influye en el disfrute de otros derechos y libertades fundamentales, y destacan su importancia como </w:t>
      </w:r>
      <w:r w:rsidR="00F51393">
        <w:rPr>
          <w:rFonts w:ascii="Times New Roman" w:hAnsi="Times New Roman" w:cs="Times New Roman"/>
        </w:rPr>
        <w:t>herramienta</w:t>
      </w:r>
      <w:r w:rsidRPr="00BA20B4">
        <w:rPr>
          <w:rFonts w:ascii="Times New Roman" w:hAnsi="Times New Roman" w:cs="Times New Roman"/>
        </w:rPr>
        <w:t xml:space="preserve"> que permite la equidad y el desarrollo. Como derecho humano, la educación debe ser de calidad, supone el </w:t>
      </w:r>
      <w:r w:rsidRPr="00BA20B4">
        <w:rPr>
          <w:rFonts w:ascii="Times New Roman" w:hAnsi="Times New Roman" w:cs="Times New Roman"/>
          <w:lang w:val="es-ES"/>
        </w:rPr>
        <w:t>ejercicio de los derechos humanos en la educación y por conducto de ésta, se integra a otros derechos sociales con los que se interrelaciona como la salud y el trabajo</w:t>
      </w:r>
      <w:r w:rsidR="00FD4BEA">
        <w:rPr>
          <w:rFonts w:ascii="Times New Roman" w:hAnsi="Times New Roman" w:cs="Times New Roman"/>
          <w:lang w:val="es-ES"/>
        </w:rPr>
        <w:t xml:space="preserve"> decente.</w:t>
      </w:r>
    </w:p>
    <w:p w:rsidR="000A2012" w:rsidRPr="00BA20B4" w:rsidRDefault="000A2012" w:rsidP="000A2012">
      <w:pPr>
        <w:pStyle w:val="NormalWeb"/>
        <w:spacing w:before="0" w:beforeAutospacing="0" w:after="0" w:afterAutospacing="0"/>
        <w:jc w:val="both"/>
        <w:rPr>
          <w:sz w:val="22"/>
          <w:szCs w:val="22"/>
        </w:rPr>
      </w:pPr>
    </w:p>
    <w:p w:rsidR="000A2012" w:rsidRPr="00BA20B4" w:rsidRDefault="00AC5AAA" w:rsidP="000A2012">
      <w:pPr>
        <w:pStyle w:val="NormalWeb"/>
        <w:spacing w:before="0" w:beforeAutospacing="0" w:after="0" w:afterAutospacing="0"/>
        <w:jc w:val="both"/>
        <w:rPr>
          <w:szCs w:val="22"/>
        </w:rPr>
      </w:pPr>
      <w:r w:rsidRPr="00BA20B4">
        <w:rPr>
          <w:szCs w:val="22"/>
        </w:rPr>
        <w:t>El reconocimiento de la educación como derec</w:t>
      </w:r>
      <w:r w:rsidR="00F75E6A">
        <w:rPr>
          <w:szCs w:val="22"/>
        </w:rPr>
        <w:t>ho humano es debidamente interpretado</w:t>
      </w:r>
      <w:r w:rsidRPr="00BA20B4">
        <w:rPr>
          <w:szCs w:val="22"/>
        </w:rPr>
        <w:t xml:space="preserve"> por el concepto de “desarrollo humano” entendido no como el a</w:t>
      </w:r>
      <w:r w:rsidR="00733544">
        <w:rPr>
          <w:szCs w:val="22"/>
        </w:rPr>
        <w:t>umento</w:t>
      </w:r>
      <w:r w:rsidRPr="00BA20B4">
        <w:rPr>
          <w:szCs w:val="22"/>
        </w:rPr>
        <w:t xml:space="preserve"> en el ingreso p</w:t>
      </w:r>
      <w:r w:rsidR="00AF60C5">
        <w:rPr>
          <w:szCs w:val="22"/>
        </w:rPr>
        <w:t>or</w:t>
      </w:r>
      <w:r w:rsidR="00CF673F">
        <w:rPr>
          <w:szCs w:val="22"/>
        </w:rPr>
        <w:t xml:space="preserve"> </w:t>
      </w:r>
      <w:r w:rsidR="00AF60C5">
        <w:rPr>
          <w:szCs w:val="22"/>
        </w:rPr>
        <w:t>habitante</w:t>
      </w:r>
      <w:r w:rsidR="00CF673F">
        <w:rPr>
          <w:szCs w:val="22"/>
        </w:rPr>
        <w:t xml:space="preserve"> </w:t>
      </w:r>
      <w:r w:rsidR="00C203CE">
        <w:rPr>
          <w:szCs w:val="22"/>
        </w:rPr>
        <w:t>o en el producto interno bruto</w:t>
      </w:r>
      <w:r w:rsidR="00C203CE" w:rsidRPr="00BA20B4">
        <w:rPr>
          <w:rStyle w:val="Refdenotaalpie"/>
          <w:rFonts w:eastAsiaTheme="minorEastAsia"/>
        </w:rPr>
        <w:footnoteReference w:id="16"/>
      </w:r>
      <w:r w:rsidR="00F75E6A">
        <w:rPr>
          <w:szCs w:val="22"/>
        </w:rPr>
        <w:t>sino como la ampliación</w:t>
      </w:r>
      <w:r w:rsidRPr="00BA20B4">
        <w:rPr>
          <w:szCs w:val="22"/>
        </w:rPr>
        <w:t xml:space="preserve"> de oportunidades de </w:t>
      </w:r>
      <w:r w:rsidR="00F75E6A">
        <w:rPr>
          <w:szCs w:val="22"/>
        </w:rPr>
        <w:t>desarrollo integral del ser humano y el goce efectivo de una vida plena.</w:t>
      </w:r>
    </w:p>
    <w:p w:rsidR="000A2012" w:rsidRPr="00BA20B4" w:rsidRDefault="000A2012" w:rsidP="000A2012">
      <w:pPr>
        <w:pStyle w:val="NormalWeb"/>
        <w:spacing w:before="0" w:beforeAutospacing="0" w:after="0" w:afterAutospacing="0"/>
        <w:jc w:val="both"/>
        <w:rPr>
          <w:sz w:val="22"/>
          <w:szCs w:val="22"/>
        </w:rPr>
      </w:pPr>
    </w:p>
    <w:p w:rsidR="000A2012" w:rsidRPr="00BA20B4" w:rsidRDefault="000A2012" w:rsidP="000A2012">
      <w:pPr>
        <w:autoSpaceDE w:val="0"/>
        <w:autoSpaceDN w:val="0"/>
        <w:adjustRightInd w:val="0"/>
        <w:jc w:val="both"/>
        <w:rPr>
          <w:rFonts w:ascii="Times New Roman" w:hAnsi="Times New Roman" w:cs="Times New Roman"/>
          <w:lang w:val="es-ES"/>
        </w:rPr>
      </w:pPr>
      <w:r w:rsidRPr="00BA20B4">
        <w:rPr>
          <w:rFonts w:ascii="Times New Roman" w:hAnsi="Times New Roman" w:cs="Times New Roman"/>
        </w:rPr>
        <w:t xml:space="preserve">La educación incide de manera fundamental en el bienestar, las oportunidades y la calidad de vida de los individuos, las familias y las colectividades. </w:t>
      </w:r>
      <w:r w:rsidR="00DB08C7" w:rsidRPr="00BA20B4">
        <w:rPr>
          <w:rFonts w:ascii="Times New Roman" w:hAnsi="Times New Roman" w:cs="Times New Roman"/>
        </w:rPr>
        <w:t>El Índice de Desarrollo Humano incluye la educación entre las tres oportunidades básicas de la persona, al lado de su esperanza de vida y su nivel de ingreso.</w:t>
      </w:r>
      <w:r w:rsidR="00CF673F">
        <w:rPr>
          <w:rFonts w:ascii="Times New Roman" w:hAnsi="Times New Roman" w:cs="Times New Roman"/>
        </w:rPr>
        <w:t xml:space="preserve"> </w:t>
      </w:r>
      <w:r w:rsidRPr="00BA20B4">
        <w:rPr>
          <w:rFonts w:ascii="Times New Roman" w:hAnsi="Times New Roman" w:cs="Times New Roman"/>
        </w:rPr>
        <w:t>A nivel individual</w:t>
      </w:r>
      <w:r w:rsidR="00937501">
        <w:rPr>
          <w:rFonts w:ascii="Times New Roman" w:hAnsi="Times New Roman" w:cs="Times New Roman"/>
        </w:rPr>
        <w:t xml:space="preserve"> la educación</w:t>
      </w:r>
      <w:r w:rsidRPr="00BA20B4">
        <w:rPr>
          <w:rFonts w:ascii="Times New Roman" w:hAnsi="Times New Roman" w:cs="Times New Roman"/>
        </w:rPr>
        <w:t xml:space="preserve"> tiene </w:t>
      </w:r>
      <w:r w:rsidRPr="00BA20B4">
        <w:rPr>
          <w:rFonts w:ascii="Times New Roman" w:hAnsi="Times New Roman" w:cs="Times New Roman"/>
          <w:lang w:val="es-ES"/>
        </w:rPr>
        <w:t>tres grandes funciones: “la función de socializar, transmitir la cultura y desarrollar la personalidad (asociada con el papel de ciudadano adulto); la función de formar para el trabajo (asociada con el papel ocupacional), y la función de entrenar para la ciencia y la tecnología (asociada con los roles o papeles de la alta inteligencia)</w:t>
      </w:r>
      <w:r w:rsidR="006F566F" w:rsidRPr="00064079">
        <w:rPr>
          <w:rStyle w:val="Refdenotaalpie"/>
          <w:rFonts w:ascii="Times New Roman" w:hAnsi="Times New Roman"/>
        </w:rPr>
        <w:footnoteReference w:id="17"/>
      </w:r>
      <w:r w:rsidRPr="00064079">
        <w:rPr>
          <w:rFonts w:ascii="Times New Roman" w:hAnsi="Times New Roman" w:cs="Times New Roman"/>
          <w:lang w:val="es-ES"/>
        </w:rPr>
        <w:t>”.</w:t>
      </w:r>
      <w:r w:rsidRPr="00BA20B4">
        <w:rPr>
          <w:rFonts w:ascii="Times New Roman" w:hAnsi="Times New Roman" w:cs="Times New Roman"/>
          <w:lang w:val="es-ES"/>
        </w:rPr>
        <w:t>A nivel social la</w:t>
      </w:r>
      <w:r w:rsidR="004F41D5">
        <w:rPr>
          <w:rFonts w:ascii="Times New Roman" w:hAnsi="Times New Roman" w:cs="Times New Roman"/>
          <w:lang w:val="es-ES"/>
        </w:rPr>
        <w:t xml:space="preserve"> educación debe contribuir al fortalecimiento del </w:t>
      </w:r>
      <w:r w:rsidRPr="00BA20B4">
        <w:rPr>
          <w:rFonts w:ascii="Times New Roman" w:hAnsi="Times New Roman" w:cs="Times New Roman"/>
        </w:rPr>
        <w:t xml:space="preserve">capital humano, </w:t>
      </w:r>
      <w:r w:rsidR="00F300DF">
        <w:rPr>
          <w:rFonts w:ascii="Times New Roman" w:hAnsi="Times New Roman" w:cs="Times New Roman"/>
        </w:rPr>
        <w:t>a</w:t>
      </w:r>
      <w:r w:rsidRPr="00BA20B4">
        <w:rPr>
          <w:rFonts w:ascii="Times New Roman" w:hAnsi="Times New Roman" w:cs="Times New Roman"/>
        </w:rPr>
        <w:t>l desarrollo social</w:t>
      </w:r>
      <w:r w:rsidR="00F300DF">
        <w:rPr>
          <w:rFonts w:ascii="Times New Roman" w:hAnsi="Times New Roman" w:cs="Times New Roman"/>
        </w:rPr>
        <w:t xml:space="preserve">, a </w:t>
      </w:r>
      <w:r w:rsidRPr="00BA20B4">
        <w:rPr>
          <w:rFonts w:ascii="Times New Roman" w:hAnsi="Times New Roman" w:cs="Times New Roman"/>
        </w:rPr>
        <w:t>la integración</w:t>
      </w:r>
      <w:r w:rsidR="00F300DF">
        <w:rPr>
          <w:rFonts w:ascii="Times New Roman" w:hAnsi="Times New Roman" w:cs="Times New Roman"/>
        </w:rPr>
        <w:t xml:space="preserve"> y al crecimiento </w:t>
      </w:r>
      <w:r w:rsidR="00F300DF">
        <w:rPr>
          <w:rFonts w:ascii="Times New Roman" w:hAnsi="Times New Roman" w:cs="Times New Roman"/>
        </w:rPr>
        <w:lastRenderedPageBreak/>
        <w:t>económico</w:t>
      </w:r>
      <w:r w:rsidR="00F5790D">
        <w:rPr>
          <w:rFonts w:ascii="Times New Roman" w:hAnsi="Times New Roman" w:cs="Times New Roman"/>
        </w:rPr>
        <w:t>.</w:t>
      </w:r>
      <w:r w:rsidR="00CF673F">
        <w:rPr>
          <w:rFonts w:ascii="Times New Roman" w:hAnsi="Times New Roman" w:cs="Times New Roman"/>
        </w:rPr>
        <w:t xml:space="preserve"> </w:t>
      </w:r>
      <w:r w:rsidR="00F5790D">
        <w:rPr>
          <w:rFonts w:ascii="Times New Roman" w:hAnsi="Times New Roman" w:cs="Times New Roman"/>
        </w:rPr>
        <w:t>P</w:t>
      </w:r>
      <w:r w:rsidR="009B6708">
        <w:rPr>
          <w:rFonts w:ascii="Times New Roman" w:hAnsi="Times New Roman" w:cs="Times New Roman"/>
        </w:rPr>
        <w:t>or</w:t>
      </w:r>
      <w:r w:rsidR="00F5790D">
        <w:rPr>
          <w:rFonts w:ascii="Times New Roman" w:hAnsi="Times New Roman" w:cs="Times New Roman"/>
        </w:rPr>
        <w:t xml:space="preserve"> lo</w:t>
      </w:r>
      <w:r w:rsidR="009B6708">
        <w:rPr>
          <w:rFonts w:ascii="Times New Roman" w:hAnsi="Times New Roman" w:cs="Times New Roman"/>
        </w:rPr>
        <w:t xml:space="preserve"> tanto</w:t>
      </w:r>
      <w:r w:rsidR="00F5790D">
        <w:rPr>
          <w:rFonts w:ascii="Times New Roman" w:hAnsi="Times New Roman" w:cs="Times New Roman"/>
        </w:rPr>
        <w:t>,</w:t>
      </w:r>
      <w:r w:rsidR="009B6708">
        <w:rPr>
          <w:rFonts w:ascii="Times New Roman" w:hAnsi="Times New Roman" w:cs="Times New Roman"/>
        </w:rPr>
        <w:t xml:space="preserve"> una valoración de la calidad del sistema educativo debe hacerse en la perspectiva de su aporte al cumplimiento de estos propósitos.</w:t>
      </w:r>
    </w:p>
    <w:p w:rsidR="00F300DF" w:rsidRPr="00BA20B4" w:rsidDel="00F300DF" w:rsidRDefault="00F300DF" w:rsidP="000A2012">
      <w:pPr>
        <w:pStyle w:val="NormalWeb"/>
        <w:spacing w:before="0" w:beforeAutospacing="0" w:after="0" w:afterAutospacing="0"/>
        <w:jc w:val="both"/>
        <w:rPr>
          <w:sz w:val="22"/>
          <w:szCs w:val="22"/>
          <w:lang w:val="es-ES"/>
        </w:rPr>
      </w:pPr>
    </w:p>
    <w:p w:rsidR="000A2012" w:rsidRPr="00BA20B4" w:rsidRDefault="000A2012" w:rsidP="000A2012">
      <w:pPr>
        <w:autoSpaceDE w:val="0"/>
        <w:autoSpaceDN w:val="0"/>
        <w:adjustRightInd w:val="0"/>
        <w:jc w:val="both"/>
        <w:rPr>
          <w:rFonts w:ascii="Times New Roman" w:hAnsi="Times New Roman" w:cs="Times New Roman"/>
        </w:rPr>
      </w:pPr>
      <w:r w:rsidRPr="00BA20B4">
        <w:rPr>
          <w:rFonts w:ascii="Times New Roman" w:hAnsi="Times New Roman" w:cs="Times New Roman"/>
        </w:rPr>
        <w:t>En contextos como el latinoamericano</w:t>
      </w:r>
      <w:r w:rsidR="00946013">
        <w:rPr>
          <w:rFonts w:ascii="Times New Roman" w:hAnsi="Times New Roman" w:cs="Times New Roman"/>
        </w:rPr>
        <w:t>,</w:t>
      </w:r>
      <w:r w:rsidRPr="00BA20B4">
        <w:rPr>
          <w:rFonts w:ascii="Times New Roman" w:hAnsi="Times New Roman" w:cs="Times New Roman"/>
        </w:rPr>
        <w:t xml:space="preserve"> donde existen grandes desigualdades sociales</w:t>
      </w:r>
      <w:r w:rsidR="00946013">
        <w:rPr>
          <w:rFonts w:ascii="Times New Roman" w:hAnsi="Times New Roman" w:cs="Times New Roman"/>
        </w:rPr>
        <w:t>,</w:t>
      </w:r>
      <w:r w:rsidR="00CF673F">
        <w:rPr>
          <w:rFonts w:ascii="Times New Roman" w:hAnsi="Times New Roman" w:cs="Times New Roman"/>
        </w:rPr>
        <w:t xml:space="preserve"> </w:t>
      </w:r>
      <w:r w:rsidR="007610A7">
        <w:rPr>
          <w:rFonts w:ascii="Times New Roman" w:hAnsi="Times New Roman" w:cs="Times New Roman"/>
        </w:rPr>
        <w:t xml:space="preserve">la educación </w:t>
      </w:r>
      <w:r w:rsidRPr="00BA20B4">
        <w:rPr>
          <w:rFonts w:ascii="Times New Roman" w:hAnsi="Times New Roman" w:cs="Times New Roman"/>
        </w:rPr>
        <w:t xml:space="preserve">cumple un papel clave en la distribución de las oportunidades, y en la reducción de la pobreza y </w:t>
      </w:r>
      <w:r w:rsidR="006B5310">
        <w:rPr>
          <w:rFonts w:ascii="Times New Roman" w:hAnsi="Times New Roman" w:cs="Times New Roman"/>
        </w:rPr>
        <w:t xml:space="preserve">la </w:t>
      </w:r>
      <w:r w:rsidRPr="00BA20B4">
        <w:rPr>
          <w:rFonts w:ascii="Times New Roman" w:hAnsi="Times New Roman" w:cs="Times New Roman"/>
        </w:rPr>
        <w:t>desigualdad. “</w:t>
      </w:r>
      <w:r w:rsidRPr="00BA20B4">
        <w:rPr>
          <w:rFonts w:ascii="Times New Roman" w:hAnsi="Times New Roman" w:cs="Times New Roman"/>
          <w:lang w:val="es-ES"/>
        </w:rPr>
        <w:t>Aunque no hay acuerdo sobre el peso relativo de cada factor, sí hay consenso en atribuir el mal reparto del ingreso a la concentración de la propiedad sobre activos productivos: la tierra cultivable, el capital financiero, las patentes tecnológicas, y la educación”</w:t>
      </w:r>
      <w:r w:rsidRPr="00BA20B4">
        <w:rPr>
          <w:rStyle w:val="Refdenotaalpie"/>
          <w:rFonts w:ascii="Times New Roman" w:hAnsi="Times New Roman"/>
        </w:rPr>
        <w:footnoteReference w:id="18"/>
      </w:r>
      <w:r w:rsidRPr="00BA20B4">
        <w:rPr>
          <w:rFonts w:ascii="Times New Roman" w:hAnsi="Times New Roman" w:cs="Times New Roman"/>
          <w:lang w:val="es-ES"/>
        </w:rPr>
        <w:t>.</w:t>
      </w:r>
      <w:r w:rsidRPr="00BA20B4">
        <w:rPr>
          <w:rFonts w:ascii="Times New Roman" w:hAnsi="Times New Roman" w:cs="Times New Roman"/>
        </w:rPr>
        <w:t xml:space="preserve"> Desde esta perspectiva, la </w:t>
      </w:r>
      <w:r w:rsidR="00102E8C">
        <w:rPr>
          <w:rFonts w:ascii="Times New Roman" w:hAnsi="Times New Roman" w:cs="Times New Roman"/>
        </w:rPr>
        <w:t>garantía del derecho a la</w:t>
      </w:r>
      <w:r w:rsidRPr="00BA20B4">
        <w:rPr>
          <w:rFonts w:ascii="Times New Roman" w:hAnsi="Times New Roman" w:cs="Times New Roman"/>
        </w:rPr>
        <w:t xml:space="preserve"> educación es una de las formas de redistribuir el ingreso y de promover estrategias de desarrollo. </w:t>
      </w:r>
    </w:p>
    <w:p w:rsidR="000A2012" w:rsidRPr="00BA20B4" w:rsidRDefault="000A2012" w:rsidP="000A2012">
      <w:pPr>
        <w:autoSpaceDE w:val="0"/>
        <w:autoSpaceDN w:val="0"/>
        <w:adjustRightInd w:val="0"/>
        <w:jc w:val="both"/>
        <w:rPr>
          <w:rFonts w:ascii="Times New Roman" w:hAnsi="Times New Roman" w:cs="Times New Roman"/>
        </w:rPr>
      </w:pPr>
    </w:p>
    <w:p w:rsidR="000A2012" w:rsidRPr="00BA20B4" w:rsidRDefault="000A2012" w:rsidP="000A2012">
      <w:pPr>
        <w:autoSpaceDE w:val="0"/>
        <w:autoSpaceDN w:val="0"/>
        <w:adjustRightInd w:val="0"/>
        <w:jc w:val="both"/>
        <w:rPr>
          <w:rFonts w:ascii="Times New Roman" w:hAnsi="Times New Roman" w:cs="Times New Roman"/>
        </w:rPr>
      </w:pPr>
      <w:r w:rsidRPr="00BA20B4">
        <w:rPr>
          <w:rFonts w:ascii="Times New Roman" w:hAnsi="Times New Roman" w:cs="Times New Roman"/>
        </w:rPr>
        <w:t xml:space="preserve">Todos los beneficios que acumula la sociedad como resultado de un incremento general del nivel educativo se </w:t>
      </w:r>
      <w:r w:rsidR="005B1905">
        <w:rPr>
          <w:rFonts w:ascii="Times New Roman" w:hAnsi="Times New Roman" w:cs="Times New Roman"/>
        </w:rPr>
        <w:t>expresan en</w:t>
      </w:r>
      <w:r w:rsidRPr="00BA20B4">
        <w:rPr>
          <w:rFonts w:ascii="Times New Roman" w:hAnsi="Times New Roman" w:cs="Times New Roman"/>
        </w:rPr>
        <w:t xml:space="preserve"> su rentabilidad social</w:t>
      </w:r>
      <w:r w:rsidR="00692E21" w:rsidRPr="00BA20B4">
        <w:rPr>
          <w:rStyle w:val="Refdenotaalpie"/>
          <w:rFonts w:ascii="Times New Roman" w:hAnsi="Times New Roman"/>
        </w:rPr>
        <w:footnoteReference w:id="19"/>
      </w:r>
      <w:r w:rsidRPr="00BA20B4">
        <w:rPr>
          <w:rFonts w:ascii="Times New Roman" w:hAnsi="Times New Roman" w:cs="Times New Roman"/>
        </w:rPr>
        <w:t>. Por su parte, la rentabilidad individual alude a los efectos comprobados en mejorar la salud, la nutrición, la productividad y los ingresos. Tanto en uno como en otro caso</w:t>
      </w:r>
      <w:r w:rsidR="00785E03">
        <w:rPr>
          <w:rFonts w:ascii="Times New Roman" w:hAnsi="Times New Roman" w:cs="Times New Roman"/>
        </w:rPr>
        <w:t>, hay consenso sobre los</w:t>
      </w:r>
      <w:r w:rsidRPr="00BA20B4">
        <w:rPr>
          <w:rFonts w:ascii="Times New Roman" w:hAnsi="Times New Roman" w:cs="Times New Roman"/>
        </w:rPr>
        <w:t xml:space="preserve"> efectos positivos. “El efecto de la educación en la mejora de los niveles de ingreso, la salud de las personas, los cambios en la estructura de la familia (en relación con la fecundidad y la participación en la actividad económica de sus miembros, entre otros), la promoción de valores democráticos, la convivencia civilizada y la actividad autónoma y responsable de las personas ha sido ampliamente demostrado”</w:t>
      </w:r>
      <w:r w:rsidRPr="00BA20B4">
        <w:rPr>
          <w:rStyle w:val="Refdenotaalpie"/>
          <w:rFonts w:ascii="Times New Roman" w:hAnsi="Times New Roman"/>
        </w:rPr>
        <w:footnoteReference w:id="20"/>
      </w:r>
      <w:r w:rsidRPr="00BA20B4">
        <w:rPr>
          <w:rFonts w:ascii="Times New Roman" w:hAnsi="Times New Roman" w:cs="Times New Roman"/>
        </w:rPr>
        <w:t>.</w:t>
      </w:r>
    </w:p>
    <w:p w:rsidR="000A2012" w:rsidRPr="00BA20B4" w:rsidRDefault="000A2012" w:rsidP="000A2012">
      <w:pPr>
        <w:autoSpaceDE w:val="0"/>
        <w:autoSpaceDN w:val="0"/>
        <w:adjustRightInd w:val="0"/>
        <w:jc w:val="both"/>
        <w:rPr>
          <w:rFonts w:ascii="Times New Roman" w:hAnsi="Times New Roman" w:cs="Times New Roman"/>
        </w:rPr>
      </w:pPr>
    </w:p>
    <w:p w:rsidR="000A2012" w:rsidRDefault="000A2012" w:rsidP="000A2012">
      <w:pPr>
        <w:autoSpaceDE w:val="0"/>
        <w:autoSpaceDN w:val="0"/>
        <w:adjustRightInd w:val="0"/>
        <w:jc w:val="both"/>
        <w:rPr>
          <w:rFonts w:ascii="Times New Roman" w:hAnsi="Times New Roman" w:cs="Times New Roman"/>
          <w:lang w:val="es-ES"/>
        </w:rPr>
      </w:pPr>
      <w:r w:rsidRPr="00BA20B4">
        <w:rPr>
          <w:rFonts w:ascii="Times New Roman" w:hAnsi="Times New Roman" w:cs="Times New Roman"/>
        </w:rPr>
        <w:t xml:space="preserve">Estudios sobre la evolución de la rentabilidad de la educación en Colombia advierten un comportamiento positivo de la </w:t>
      </w:r>
      <w:r w:rsidRPr="00BA20B4">
        <w:rPr>
          <w:rFonts w:ascii="Times New Roman" w:hAnsi="Times New Roman" w:cs="Times New Roman"/>
          <w:lang w:val="es-ES"/>
        </w:rPr>
        <w:t>rentabilidad privada de la educación a nivel nacional y urbano</w:t>
      </w:r>
      <w:r w:rsidRPr="00BA20B4">
        <w:rPr>
          <w:rStyle w:val="Refdenotaalpie"/>
          <w:rFonts w:ascii="Times New Roman" w:eastAsia="Calibri" w:hAnsi="Times New Roman"/>
        </w:rPr>
        <w:footnoteReference w:id="21"/>
      </w:r>
      <w:r w:rsidRPr="00BA20B4">
        <w:rPr>
          <w:rFonts w:ascii="Times New Roman" w:hAnsi="Times New Roman" w:cs="Times New Roman"/>
          <w:lang w:val="es-ES"/>
        </w:rPr>
        <w:t xml:space="preserve">. </w:t>
      </w:r>
      <w:r w:rsidR="00793CF0" w:rsidRPr="00AB31A4">
        <w:rPr>
          <w:rFonts w:ascii="Times New Roman" w:hAnsi="Times New Roman" w:cs="Times New Roman"/>
          <w:lang w:val="es-ES"/>
        </w:rPr>
        <w:t xml:space="preserve">En materia de ingresos, </w:t>
      </w:r>
      <w:r w:rsidR="00793CF0" w:rsidRPr="00AB31A4">
        <w:rPr>
          <w:rFonts w:ascii="Times New Roman" w:eastAsiaTheme="minorHAnsi" w:hAnsi="Times New Roman" w:cs="Times New Roman"/>
          <w:lang w:val="es-CO" w:eastAsia="en-US"/>
        </w:rPr>
        <w:t>Marcelo y Ariza encontraron que en 1997 un año adicional de escolaridad propició un incremento de 12,4% en el nivel de ingresos de la población económicamente activa, mientras que en 2003 el aumento ascendió al 14%.</w:t>
      </w:r>
      <w:r w:rsidRPr="00BA20B4">
        <w:rPr>
          <w:rFonts w:ascii="Times New Roman" w:hAnsi="Times New Roman" w:cs="Times New Roman"/>
          <w:lang w:val="es-ES"/>
        </w:rPr>
        <w:t>Bogotá arroja resultados interesantes en relación con la rentabilidad</w:t>
      </w:r>
      <w:r w:rsidR="00D8449B">
        <w:rPr>
          <w:rFonts w:ascii="Times New Roman" w:hAnsi="Times New Roman" w:cs="Times New Roman"/>
          <w:lang w:val="es-ES"/>
        </w:rPr>
        <w:t xml:space="preserve">: </w:t>
      </w:r>
      <w:r w:rsidRPr="00BA20B4">
        <w:rPr>
          <w:rFonts w:ascii="Times New Roman" w:hAnsi="Times New Roman" w:cs="Times New Roman"/>
          <w:lang w:val="es-ES"/>
        </w:rPr>
        <w:t>“Dos quintas partes de la rentabilidad social de la educación en la ciudad se deben a las externalidades producto de la inversión en educación. En consecuencia la tasa de retorno social es superior a la rentabilidad privada de la educación”</w:t>
      </w:r>
      <w:r w:rsidRPr="00BA20B4">
        <w:rPr>
          <w:rStyle w:val="Refdenotaalpie"/>
          <w:rFonts w:ascii="Times New Roman" w:eastAsia="Calibri" w:hAnsi="Times New Roman"/>
        </w:rPr>
        <w:footnoteReference w:id="22"/>
      </w:r>
      <w:r w:rsidRPr="00BA20B4">
        <w:rPr>
          <w:rFonts w:ascii="Times New Roman" w:hAnsi="Times New Roman" w:cs="Times New Roman"/>
          <w:lang w:val="es-ES"/>
        </w:rPr>
        <w:t xml:space="preserve">. </w:t>
      </w:r>
    </w:p>
    <w:p w:rsidR="00692E21" w:rsidRDefault="00692E21" w:rsidP="000A2012">
      <w:pPr>
        <w:autoSpaceDE w:val="0"/>
        <w:autoSpaceDN w:val="0"/>
        <w:adjustRightInd w:val="0"/>
        <w:jc w:val="both"/>
        <w:rPr>
          <w:rFonts w:ascii="Times New Roman" w:hAnsi="Times New Roman" w:cs="Times New Roman"/>
          <w:lang w:val="es-ES"/>
        </w:rPr>
      </w:pPr>
    </w:p>
    <w:p w:rsidR="00692E21" w:rsidRPr="00BA20B4" w:rsidRDefault="00CC1D31" w:rsidP="000A2012">
      <w:pPr>
        <w:autoSpaceDE w:val="0"/>
        <w:autoSpaceDN w:val="0"/>
        <w:adjustRightInd w:val="0"/>
        <w:jc w:val="both"/>
        <w:rPr>
          <w:rFonts w:ascii="Times New Roman" w:hAnsi="Times New Roman" w:cs="Times New Roman"/>
          <w:lang w:val="es-ES"/>
        </w:rPr>
      </w:pPr>
      <w:r>
        <w:rPr>
          <w:rFonts w:ascii="Times New Roman" w:hAnsi="Times New Roman" w:cs="Times New Roman"/>
        </w:rPr>
        <w:t xml:space="preserve">Tanto en uno como en otro caso, se advierte que la rentabilidad individual y social de la educación es importante, y que desde el punto de vista de </w:t>
      </w:r>
      <w:r w:rsidR="00692E21" w:rsidRPr="00C71BE1">
        <w:rPr>
          <w:rFonts w:ascii="Times New Roman" w:hAnsi="Times New Roman" w:cs="Times New Roman"/>
        </w:rPr>
        <w:t xml:space="preserve">desarrollo humano </w:t>
      </w:r>
      <w:r>
        <w:rPr>
          <w:rFonts w:ascii="Times New Roman" w:hAnsi="Times New Roman" w:cs="Times New Roman"/>
        </w:rPr>
        <w:t xml:space="preserve">resulta </w:t>
      </w:r>
      <w:r w:rsidR="00692E21" w:rsidRPr="00C71BE1">
        <w:rPr>
          <w:rFonts w:ascii="Times New Roman" w:hAnsi="Times New Roman" w:cs="Times New Roman"/>
        </w:rPr>
        <w:t>un pilar fundamental a favor de la construcción de sociedades más armoniosas, que favorezcan la comprensión, la equidad, la reducción de la pobreza y la construcción de una sociedad en paz.</w:t>
      </w:r>
    </w:p>
    <w:p w:rsidR="00B31501" w:rsidRPr="00BA20B4" w:rsidRDefault="00B31501" w:rsidP="000A2012">
      <w:pPr>
        <w:pStyle w:val="NormalWeb"/>
        <w:spacing w:before="0" w:beforeAutospacing="0" w:after="0" w:afterAutospacing="0"/>
        <w:jc w:val="both"/>
        <w:rPr>
          <w:sz w:val="22"/>
          <w:szCs w:val="22"/>
        </w:rPr>
      </w:pPr>
    </w:p>
    <w:p w:rsidR="000A2012" w:rsidRPr="00CA2A34" w:rsidRDefault="000A2012" w:rsidP="000A2012">
      <w:pPr>
        <w:pStyle w:val="NormalWeb"/>
        <w:spacing w:before="0" w:beforeAutospacing="0" w:after="0" w:afterAutospacing="0"/>
        <w:jc w:val="both"/>
        <w:rPr>
          <w:szCs w:val="22"/>
        </w:rPr>
      </w:pPr>
      <w:r w:rsidRPr="00CA2A34">
        <w:rPr>
          <w:b/>
          <w:szCs w:val="22"/>
        </w:rPr>
        <w:lastRenderedPageBreak/>
        <w:t>Seres humanos con</w:t>
      </w:r>
      <w:r w:rsidR="00EC55AA">
        <w:rPr>
          <w:b/>
          <w:szCs w:val="22"/>
        </w:rPr>
        <w:t xml:space="preserve"> desarrollo de sus</w:t>
      </w:r>
      <w:r w:rsidRPr="00CA2A34">
        <w:rPr>
          <w:b/>
          <w:szCs w:val="22"/>
        </w:rPr>
        <w:t xml:space="preserve"> capacidades</w:t>
      </w:r>
    </w:p>
    <w:p w:rsidR="000A2012" w:rsidRPr="00BA20B4" w:rsidRDefault="000A2012" w:rsidP="000A2012">
      <w:pPr>
        <w:pStyle w:val="NormalWeb"/>
        <w:spacing w:before="0" w:beforeAutospacing="0" w:after="0" w:afterAutospacing="0"/>
        <w:jc w:val="both"/>
        <w:rPr>
          <w:sz w:val="22"/>
          <w:szCs w:val="22"/>
        </w:rPr>
      </w:pPr>
    </w:p>
    <w:p w:rsidR="00B37200" w:rsidRDefault="000A2012" w:rsidP="00B37200">
      <w:pPr>
        <w:tabs>
          <w:tab w:val="left" w:pos="0"/>
          <w:tab w:val="left" w:pos="540"/>
        </w:tabs>
        <w:jc w:val="both"/>
        <w:rPr>
          <w:rFonts w:ascii="Times New Roman" w:hAnsi="Times New Roman" w:cs="Times New Roman"/>
        </w:rPr>
      </w:pPr>
      <w:r w:rsidRPr="00BA20B4">
        <w:rPr>
          <w:rFonts w:ascii="Times New Roman" w:hAnsi="Times New Roman" w:cs="Times New Roman"/>
        </w:rPr>
        <w:t xml:space="preserve">La Declaración Universal de Derechos Humanos establece como objeto de la educación el pleno desarrollo de la personalidad, el fortalecimiento del respeto a los derechos humanos y libertades fundamentales, y el </w:t>
      </w:r>
      <w:r w:rsidR="00CA2A34">
        <w:rPr>
          <w:rFonts w:ascii="Times New Roman" w:hAnsi="Times New Roman" w:cs="Times New Roman"/>
        </w:rPr>
        <w:t>estímulo</w:t>
      </w:r>
      <w:r w:rsidRPr="00BA20B4">
        <w:rPr>
          <w:rFonts w:ascii="Times New Roman" w:hAnsi="Times New Roman" w:cs="Times New Roman"/>
        </w:rPr>
        <w:t xml:space="preserve"> de la comprensión, la tolerancia y la amistad entre todas las naciones y todos los grupos étnicos o religiosos</w:t>
      </w:r>
      <w:r w:rsidRPr="00BA20B4">
        <w:rPr>
          <w:rStyle w:val="Refdenotaalpie"/>
          <w:rFonts w:ascii="Times New Roman" w:hAnsi="Times New Roman"/>
        </w:rPr>
        <w:footnoteReference w:id="23"/>
      </w:r>
      <w:r w:rsidRPr="00BA20B4">
        <w:rPr>
          <w:rFonts w:ascii="Times New Roman" w:hAnsi="Times New Roman" w:cs="Times New Roman"/>
        </w:rPr>
        <w:t xml:space="preserve">. </w:t>
      </w:r>
      <w:r w:rsidR="00B37200">
        <w:rPr>
          <w:rFonts w:ascii="Times New Roman" w:hAnsi="Times New Roman" w:cs="Times New Roman"/>
        </w:rPr>
        <w:t>E</w:t>
      </w:r>
      <w:r w:rsidR="00B14C42">
        <w:rPr>
          <w:rFonts w:ascii="Times New Roman" w:hAnsi="Times New Roman" w:cs="Times New Roman"/>
        </w:rPr>
        <w:t>ste</w:t>
      </w:r>
      <w:r w:rsidR="00B37200">
        <w:rPr>
          <w:rFonts w:ascii="Times New Roman" w:hAnsi="Times New Roman" w:cs="Times New Roman"/>
        </w:rPr>
        <w:t xml:space="preserve"> objeto</w:t>
      </w:r>
      <w:r w:rsidR="00B14C42">
        <w:rPr>
          <w:rFonts w:ascii="Times New Roman" w:hAnsi="Times New Roman" w:cs="Times New Roman"/>
        </w:rPr>
        <w:t xml:space="preserve"> de la educación</w:t>
      </w:r>
      <w:r w:rsidR="00B37200">
        <w:rPr>
          <w:rFonts w:ascii="Times New Roman" w:hAnsi="Times New Roman" w:cs="Times New Roman"/>
        </w:rPr>
        <w:t xml:space="preserve"> supone entonces el desarrollo de determinadas capacidades esenciales para una vida digna y humana. La pregunta fundamental que debe hacerse es “¿qué es capaz de hacer y de ser cada persona para llevar una vida humana y digna?”. Desde esta perspectiva, la pregunta se refiere a las oportunidades disponibles para cada ser humano, que a su vez determinan el conglomerado social. La calidad de vida entonces está sujeta a las capacidades con las cuales cuentan los seres humanos para hacer y ser. Nussbaum</w:t>
      </w:r>
      <w:r w:rsidR="00B37200">
        <w:rPr>
          <w:rStyle w:val="Refdenotaalpie"/>
          <w:rFonts w:ascii="Times New Roman" w:hAnsi="Times New Roman" w:cs="Times New Roman"/>
        </w:rPr>
        <w:footnoteReference w:id="24"/>
      </w:r>
      <w:r w:rsidR="00B37200">
        <w:rPr>
          <w:rFonts w:ascii="Times New Roman" w:hAnsi="Times New Roman" w:cs="Times New Roman"/>
        </w:rPr>
        <w:t xml:space="preserve"> define 10 capacidades centrales mínimas que exige una vida humana. </w:t>
      </w:r>
    </w:p>
    <w:p w:rsidR="00B37200" w:rsidRDefault="00B37200" w:rsidP="00B37200">
      <w:pPr>
        <w:tabs>
          <w:tab w:val="left" w:pos="0"/>
          <w:tab w:val="left" w:pos="540"/>
        </w:tabs>
        <w:jc w:val="both"/>
        <w:rPr>
          <w:rFonts w:ascii="Times New Roman" w:hAnsi="Times New Roman" w:cs="Times New Roman"/>
        </w:rPr>
      </w:pP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 xml:space="preserve">* </w:t>
      </w:r>
      <w:r w:rsidR="00B37200" w:rsidRPr="00525568">
        <w:rPr>
          <w:rFonts w:ascii="Times New Roman" w:hAnsi="Times New Roman"/>
        </w:rPr>
        <w:t>Vida: poder vivir una vida humana que no sea truncada.</w:t>
      </w: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 xml:space="preserve">* </w:t>
      </w:r>
      <w:r w:rsidR="00B37200" w:rsidRPr="00525568">
        <w:rPr>
          <w:rFonts w:ascii="Times New Roman" w:hAnsi="Times New Roman"/>
        </w:rPr>
        <w:t>Salud física: poder mantener una buena salud y recibir una alimentación adecuada.</w:t>
      </w: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 xml:space="preserve">* </w:t>
      </w:r>
      <w:r w:rsidR="00B37200" w:rsidRPr="00525568">
        <w:rPr>
          <w:rFonts w:ascii="Times New Roman" w:hAnsi="Times New Roman"/>
        </w:rPr>
        <w:t>Integridad física: estar protegido de ataques y violencias.</w:t>
      </w: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 xml:space="preserve">* </w:t>
      </w:r>
      <w:r w:rsidR="00B37200" w:rsidRPr="00525568">
        <w:rPr>
          <w:rFonts w:ascii="Times New Roman" w:hAnsi="Times New Roman"/>
        </w:rPr>
        <w:t>Sentidos, imaginación y pensamiento: poder utilizar los sentidos, la imaginación, el pensamiento y el razonamiento, cultivados por una educación adecuada.</w:t>
      </w: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 xml:space="preserve">* </w:t>
      </w:r>
      <w:r w:rsidR="00B37200" w:rsidRPr="00525568">
        <w:rPr>
          <w:rFonts w:ascii="Times New Roman" w:hAnsi="Times New Roman"/>
        </w:rPr>
        <w:t>Emociones: poder desarrollar sanamente nuestro plano emocional</w:t>
      </w: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 xml:space="preserve">* </w:t>
      </w:r>
      <w:r w:rsidR="00B37200" w:rsidRPr="00525568">
        <w:rPr>
          <w:rFonts w:ascii="Times New Roman" w:hAnsi="Times New Roman"/>
        </w:rPr>
        <w:t>Razón práctica: poder formarse una razón práctica que conciba el bien y reflexione sobre la planificación de la propia vida</w:t>
      </w: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 xml:space="preserve">* </w:t>
      </w:r>
      <w:r w:rsidR="00B37200" w:rsidRPr="00525568">
        <w:rPr>
          <w:rFonts w:ascii="Times New Roman" w:hAnsi="Times New Roman"/>
        </w:rPr>
        <w:t>Afiliación: poder vivir con y para los demás</w:t>
      </w: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 xml:space="preserve">* </w:t>
      </w:r>
      <w:r w:rsidR="00B37200" w:rsidRPr="00525568">
        <w:rPr>
          <w:rFonts w:ascii="Times New Roman" w:hAnsi="Times New Roman"/>
        </w:rPr>
        <w:t>Otras especies: poder vivir una relación respetuosa con los otros seres vivientes</w:t>
      </w: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 xml:space="preserve">* </w:t>
      </w:r>
      <w:r w:rsidR="00B37200" w:rsidRPr="00525568">
        <w:rPr>
          <w:rFonts w:ascii="Times New Roman" w:hAnsi="Times New Roman"/>
        </w:rPr>
        <w:t>Juego: poder jugar, reír y disfrutar</w:t>
      </w:r>
    </w:p>
    <w:p w:rsidR="00B37200" w:rsidRPr="00525568" w:rsidRDefault="00525568" w:rsidP="00525568">
      <w:pPr>
        <w:tabs>
          <w:tab w:val="left" w:pos="0"/>
          <w:tab w:val="left" w:pos="540"/>
        </w:tabs>
        <w:jc w:val="both"/>
        <w:rPr>
          <w:rFonts w:ascii="Times New Roman" w:hAnsi="Times New Roman"/>
        </w:rPr>
      </w:pPr>
      <w:r w:rsidRPr="00525568">
        <w:rPr>
          <w:rFonts w:ascii="Times New Roman" w:hAnsi="Times New Roman"/>
        </w:rPr>
        <w:t>*</w:t>
      </w:r>
      <w:r w:rsidR="00B37200" w:rsidRPr="00525568">
        <w:rPr>
          <w:rFonts w:ascii="Times New Roman" w:hAnsi="Times New Roman"/>
        </w:rPr>
        <w:t>Control sobre el propio entorno: poder participar de las decisiones políticas, poseer propiedades y tener la posibilidad de trabaj</w:t>
      </w:r>
      <w:r w:rsidR="006D2E2E">
        <w:rPr>
          <w:rFonts w:ascii="Times New Roman" w:hAnsi="Times New Roman"/>
        </w:rPr>
        <w:t>ar</w:t>
      </w:r>
      <w:r w:rsidR="00B37200" w:rsidRPr="00525568">
        <w:rPr>
          <w:rFonts w:ascii="Times New Roman" w:hAnsi="Times New Roman"/>
        </w:rPr>
        <w:t>.</w:t>
      </w:r>
    </w:p>
    <w:p w:rsidR="00B37200" w:rsidRPr="00BA20B4" w:rsidRDefault="00B37200" w:rsidP="00B37200">
      <w:pPr>
        <w:tabs>
          <w:tab w:val="left" w:pos="0"/>
          <w:tab w:val="left" w:pos="540"/>
        </w:tabs>
        <w:jc w:val="both"/>
        <w:rPr>
          <w:rFonts w:ascii="Times New Roman" w:hAnsi="Times New Roman" w:cs="Times New Roman"/>
        </w:rPr>
      </w:pPr>
    </w:p>
    <w:p w:rsidR="00292D76" w:rsidRDefault="00B37200" w:rsidP="00B37200">
      <w:pPr>
        <w:tabs>
          <w:tab w:val="left" w:pos="0"/>
          <w:tab w:val="left" w:pos="540"/>
        </w:tabs>
        <w:jc w:val="both"/>
        <w:rPr>
          <w:rFonts w:ascii="Times New Roman" w:hAnsi="Times New Roman" w:cs="Times New Roman"/>
        </w:rPr>
      </w:pPr>
      <w:r>
        <w:rPr>
          <w:rFonts w:ascii="Times New Roman" w:hAnsi="Times New Roman" w:cs="Times New Roman"/>
        </w:rPr>
        <w:t xml:space="preserve">De igual forma, plantea que si </w:t>
      </w:r>
      <w:r w:rsidRPr="00BA20B4">
        <w:rPr>
          <w:rFonts w:ascii="Times New Roman" w:hAnsi="Times New Roman" w:cs="Times New Roman"/>
        </w:rPr>
        <w:t xml:space="preserve">un país quiere promover </w:t>
      </w:r>
      <w:r>
        <w:rPr>
          <w:rFonts w:ascii="Times New Roman" w:hAnsi="Times New Roman" w:cs="Times New Roman"/>
        </w:rPr>
        <w:t>una</w:t>
      </w:r>
      <w:r w:rsidRPr="00BA20B4">
        <w:rPr>
          <w:rFonts w:ascii="Times New Roman" w:hAnsi="Times New Roman" w:cs="Times New Roman"/>
        </w:rPr>
        <w:t xml:space="preserve"> democr</w:t>
      </w:r>
      <w:r>
        <w:rPr>
          <w:rFonts w:ascii="Times New Roman" w:hAnsi="Times New Roman" w:cs="Times New Roman"/>
        </w:rPr>
        <w:t>a</w:t>
      </w:r>
      <w:r w:rsidRPr="00BA20B4">
        <w:rPr>
          <w:rFonts w:ascii="Times New Roman" w:hAnsi="Times New Roman" w:cs="Times New Roman"/>
        </w:rPr>
        <w:t>cia humana y sensible a las personas, dedicada a promover las oportunidades para la ‘vida, la libertad y la búsqueda de la felicidad’</w:t>
      </w:r>
      <w:r w:rsidR="00CF673F">
        <w:rPr>
          <w:rFonts w:ascii="Times New Roman" w:hAnsi="Times New Roman" w:cs="Times New Roman"/>
        </w:rPr>
        <w:t xml:space="preserve"> </w:t>
      </w:r>
      <w:r>
        <w:rPr>
          <w:rFonts w:ascii="Times New Roman" w:hAnsi="Times New Roman" w:cs="Times New Roman"/>
        </w:rPr>
        <w:t>necesitará producir en sus ciu</w:t>
      </w:r>
      <w:r w:rsidR="000D3D73">
        <w:rPr>
          <w:rFonts w:ascii="Times New Roman" w:hAnsi="Times New Roman" w:cs="Times New Roman"/>
        </w:rPr>
        <w:t>dadanos las siguientes capacidades</w:t>
      </w:r>
      <w:r>
        <w:rPr>
          <w:rStyle w:val="Refdenotaalpie"/>
          <w:rFonts w:ascii="Times New Roman" w:hAnsi="Times New Roman" w:cs="Times New Roman"/>
        </w:rPr>
        <w:footnoteReference w:id="25"/>
      </w:r>
      <w:r w:rsidR="00FB6DC6">
        <w:rPr>
          <w:rFonts w:ascii="Times New Roman" w:hAnsi="Times New Roman" w:cs="Times New Roman"/>
        </w:rPr>
        <w:t>:</w:t>
      </w:r>
    </w:p>
    <w:p w:rsidR="00292D76" w:rsidRPr="00BA20B4" w:rsidRDefault="00292D76" w:rsidP="00871C61">
      <w:pPr>
        <w:tabs>
          <w:tab w:val="left" w:pos="0"/>
          <w:tab w:val="left" w:pos="540"/>
        </w:tabs>
        <w:jc w:val="both"/>
        <w:rPr>
          <w:rFonts w:ascii="Times New Roman" w:hAnsi="Times New Roman" w:cs="Times New Roman"/>
        </w:rPr>
      </w:pPr>
    </w:p>
    <w:p w:rsidR="00292D76" w:rsidRPr="00BA20B4" w:rsidRDefault="00871C61" w:rsidP="00B37200">
      <w:pPr>
        <w:pStyle w:val="Prrafodelista"/>
        <w:numPr>
          <w:ilvl w:val="0"/>
          <w:numId w:val="1"/>
        </w:numPr>
        <w:tabs>
          <w:tab w:val="left" w:pos="0"/>
          <w:tab w:val="left" w:pos="540"/>
        </w:tabs>
        <w:ind w:left="567" w:hanging="207"/>
        <w:jc w:val="both"/>
      </w:pPr>
      <w:r>
        <w:t>“</w:t>
      </w:r>
      <w:r w:rsidR="000D3D73">
        <w:t>La capacidad</w:t>
      </w:r>
      <w:r w:rsidR="00292D76" w:rsidRPr="00BA20B4">
        <w:t xml:space="preserve"> para pensar bien sobre temas políticos que afectan el país, para examinar, reflexionar, argumentar y debatir, sin recurrir a la tradición y a la autoridad.</w:t>
      </w:r>
    </w:p>
    <w:p w:rsidR="00292D76" w:rsidRPr="00BA20B4" w:rsidRDefault="000D3D73" w:rsidP="00B37200">
      <w:pPr>
        <w:pStyle w:val="Prrafodelista"/>
        <w:numPr>
          <w:ilvl w:val="0"/>
          <w:numId w:val="1"/>
        </w:numPr>
        <w:tabs>
          <w:tab w:val="left" w:pos="0"/>
          <w:tab w:val="left" w:pos="540"/>
        </w:tabs>
        <w:ind w:left="567" w:hanging="207"/>
        <w:jc w:val="both"/>
      </w:pPr>
      <w:r>
        <w:t>La capacidad</w:t>
      </w:r>
      <w:r w:rsidR="00292D76" w:rsidRPr="00BA20B4">
        <w:t xml:space="preserve"> para reconocer a los conciudadanos como personas con iguales derechos, aunque puedan ser diferentes en raza, religión, género y sexo: de verlos con respecto, como fines y no solamente como herramientas para manipular en nuestro propio beneficio.</w:t>
      </w:r>
    </w:p>
    <w:p w:rsidR="00292D76" w:rsidRPr="00BA20B4" w:rsidRDefault="000D3D73" w:rsidP="00B37200">
      <w:pPr>
        <w:pStyle w:val="Prrafodelista"/>
        <w:numPr>
          <w:ilvl w:val="0"/>
          <w:numId w:val="1"/>
        </w:numPr>
        <w:tabs>
          <w:tab w:val="left" w:pos="0"/>
          <w:tab w:val="left" w:pos="540"/>
        </w:tabs>
        <w:ind w:left="567" w:hanging="207"/>
        <w:jc w:val="both"/>
      </w:pPr>
      <w:r>
        <w:lastRenderedPageBreak/>
        <w:t>La capacidad</w:t>
      </w:r>
      <w:r w:rsidR="00292D76" w:rsidRPr="00BA20B4">
        <w:t xml:space="preserve"> para preocuparse por la vida de los demás, para comprender lo que políticas de diferente naturaleza significan para las oportunidades y experiencias de los conciudadanos, de diferentes cla</w:t>
      </w:r>
      <w:r w:rsidR="00627EBB">
        <w:t>s</w:t>
      </w:r>
      <w:r w:rsidR="00292D76" w:rsidRPr="00BA20B4">
        <w:t>es, y para los extranjeros.</w:t>
      </w:r>
    </w:p>
    <w:p w:rsidR="00292D76" w:rsidRPr="00BA20B4" w:rsidRDefault="000D3D73" w:rsidP="00B37200">
      <w:pPr>
        <w:pStyle w:val="Prrafodelista"/>
        <w:numPr>
          <w:ilvl w:val="0"/>
          <w:numId w:val="1"/>
        </w:numPr>
        <w:tabs>
          <w:tab w:val="left" w:pos="0"/>
          <w:tab w:val="left" w:pos="540"/>
        </w:tabs>
        <w:ind w:left="567" w:hanging="207"/>
        <w:jc w:val="both"/>
      </w:pPr>
      <w:r>
        <w:t>La capacidad</w:t>
      </w:r>
      <w:r w:rsidR="00292D76" w:rsidRPr="00BA20B4">
        <w:t xml:space="preserve"> para juzgar a los líderes políticos críticamente pero con un sentido informado y realista sobre las posibilidades de que disponen.</w:t>
      </w:r>
    </w:p>
    <w:p w:rsidR="00292D76" w:rsidRPr="00BA20B4" w:rsidRDefault="000D3D73" w:rsidP="00B37200">
      <w:pPr>
        <w:pStyle w:val="Prrafodelista"/>
        <w:numPr>
          <w:ilvl w:val="0"/>
          <w:numId w:val="1"/>
        </w:numPr>
        <w:tabs>
          <w:tab w:val="left" w:pos="0"/>
          <w:tab w:val="left" w:pos="540"/>
        </w:tabs>
        <w:ind w:left="567" w:hanging="207"/>
        <w:jc w:val="both"/>
      </w:pPr>
      <w:r>
        <w:t>La capacidad</w:t>
      </w:r>
      <w:r w:rsidR="00292D76" w:rsidRPr="00BA20B4">
        <w:t xml:space="preserve"> para pensar sobre el bienestar del país en su conjunto y no solamente desde la perspectiva propia y local.</w:t>
      </w:r>
    </w:p>
    <w:p w:rsidR="00292D76" w:rsidRPr="00BA20B4" w:rsidRDefault="000D3D73" w:rsidP="00B37200">
      <w:pPr>
        <w:pStyle w:val="Prrafodelista"/>
        <w:numPr>
          <w:ilvl w:val="0"/>
          <w:numId w:val="1"/>
        </w:numPr>
        <w:tabs>
          <w:tab w:val="left" w:pos="0"/>
          <w:tab w:val="left" w:pos="540"/>
        </w:tabs>
        <w:ind w:left="567" w:hanging="207"/>
        <w:jc w:val="both"/>
      </w:pPr>
      <w:r>
        <w:t>La capacidad</w:t>
      </w:r>
      <w:r w:rsidR="00292D76" w:rsidRPr="00BA20B4">
        <w:t xml:space="preserve"> para visualizar el país propio como parte de un orden internacional complicado en el cual los asuntos de distinto tipo requieren una deliberación trasnacional inteligente para su resolución.</w:t>
      </w:r>
      <w:r w:rsidR="00336DFF">
        <w:t>”</w:t>
      </w:r>
    </w:p>
    <w:p w:rsidR="000A2012" w:rsidRDefault="000A2012" w:rsidP="000A2012">
      <w:pPr>
        <w:tabs>
          <w:tab w:val="left" w:pos="0"/>
          <w:tab w:val="left" w:pos="540"/>
        </w:tabs>
        <w:jc w:val="both"/>
        <w:rPr>
          <w:rFonts w:ascii="Times New Roman" w:hAnsi="Times New Roman" w:cs="Times New Roman"/>
        </w:rPr>
      </w:pPr>
    </w:p>
    <w:p w:rsidR="00871C61" w:rsidRDefault="00871C61" w:rsidP="000A2012">
      <w:pPr>
        <w:tabs>
          <w:tab w:val="left" w:pos="0"/>
          <w:tab w:val="left" w:pos="540"/>
        </w:tabs>
        <w:jc w:val="both"/>
        <w:rPr>
          <w:rFonts w:ascii="Times New Roman" w:hAnsi="Times New Roman" w:cs="Times New Roman"/>
        </w:rPr>
      </w:pPr>
      <w:r>
        <w:rPr>
          <w:rFonts w:ascii="Times New Roman" w:hAnsi="Times New Roman" w:cs="Times New Roman"/>
        </w:rPr>
        <w:t>A esta lista que atañe a la vida humana social pueden añadirse atributo</w:t>
      </w:r>
      <w:r w:rsidR="000D3D73">
        <w:rPr>
          <w:rFonts w:ascii="Times New Roman" w:hAnsi="Times New Roman" w:cs="Times New Roman"/>
        </w:rPr>
        <w:t>s relacionados con  la capacidad</w:t>
      </w:r>
      <w:r>
        <w:rPr>
          <w:rFonts w:ascii="Times New Roman" w:hAnsi="Times New Roman" w:cs="Times New Roman"/>
        </w:rPr>
        <w:t xml:space="preserve"> para aprender durante toda la vida, identificar problemas, encontrar explicaciones, y diseñar y producir soluciones en iniciativas personales y en colectivo</w:t>
      </w:r>
      <w:r w:rsidR="0014129C">
        <w:rPr>
          <w:rFonts w:ascii="Times New Roman" w:hAnsi="Times New Roman" w:cs="Times New Roman"/>
        </w:rPr>
        <w:t>.</w:t>
      </w:r>
    </w:p>
    <w:p w:rsidR="0014129C" w:rsidRPr="00BA20B4" w:rsidRDefault="0014129C" w:rsidP="000A2012">
      <w:pPr>
        <w:tabs>
          <w:tab w:val="left" w:pos="0"/>
          <w:tab w:val="left" w:pos="540"/>
        </w:tabs>
        <w:jc w:val="both"/>
        <w:rPr>
          <w:rFonts w:ascii="Times New Roman" w:hAnsi="Times New Roman" w:cs="Times New Roman"/>
        </w:rPr>
      </w:pPr>
    </w:p>
    <w:p w:rsidR="000A2012" w:rsidRDefault="000A2012" w:rsidP="000A2012">
      <w:pPr>
        <w:tabs>
          <w:tab w:val="left" w:pos="0"/>
          <w:tab w:val="left" w:pos="540"/>
        </w:tabs>
        <w:jc w:val="both"/>
        <w:rPr>
          <w:rFonts w:ascii="Times New Roman" w:hAnsi="Times New Roman" w:cs="Times New Roman"/>
        </w:rPr>
      </w:pPr>
      <w:r w:rsidRPr="00BA20B4">
        <w:rPr>
          <w:rFonts w:ascii="Times New Roman" w:hAnsi="Times New Roman" w:cs="Times New Roman"/>
        </w:rPr>
        <w:t>La educación persigue</w:t>
      </w:r>
      <w:r w:rsidR="00871C61">
        <w:rPr>
          <w:rFonts w:ascii="Times New Roman" w:hAnsi="Times New Roman" w:cs="Times New Roman"/>
        </w:rPr>
        <w:t>, entonces,</w:t>
      </w:r>
      <w:r w:rsidRPr="00BA20B4">
        <w:rPr>
          <w:rFonts w:ascii="Times New Roman" w:hAnsi="Times New Roman" w:cs="Times New Roman"/>
        </w:rPr>
        <w:t xml:space="preserve"> un ser humano con identidad, capaz de advertir su particularidad dentro de la diversidad, </w:t>
      </w:r>
      <w:r w:rsidR="00725D61">
        <w:rPr>
          <w:rFonts w:ascii="Times New Roman" w:hAnsi="Times New Roman" w:cs="Times New Roman"/>
        </w:rPr>
        <w:t>capaz de exigir</w:t>
      </w:r>
      <w:r w:rsidRPr="00BA20B4">
        <w:rPr>
          <w:rFonts w:ascii="Times New Roman" w:hAnsi="Times New Roman" w:cs="Times New Roman"/>
        </w:rPr>
        <w:t xml:space="preserve"> sus derechos reconociendo y respetando los de los demás, que le encuentra sentido y valor a la vida misma, </w:t>
      </w:r>
      <w:r w:rsidR="00725D61">
        <w:rPr>
          <w:rFonts w:ascii="Times New Roman" w:hAnsi="Times New Roman" w:cs="Times New Roman"/>
        </w:rPr>
        <w:t>con manejo de</w:t>
      </w:r>
      <w:r w:rsidRPr="00BA20B4">
        <w:rPr>
          <w:rFonts w:ascii="Times New Roman" w:hAnsi="Times New Roman" w:cs="Times New Roman"/>
        </w:rPr>
        <w:t xml:space="preserve"> la emocionalidad, y que tiene aprendizajes que favorecen la convivencia</w:t>
      </w:r>
      <w:r w:rsidR="005430B6">
        <w:rPr>
          <w:rFonts w:ascii="Times New Roman" w:hAnsi="Times New Roman" w:cs="Times New Roman"/>
        </w:rPr>
        <w:t>,</w:t>
      </w:r>
      <w:r w:rsidRPr="00BA20B4">
        <w:rPr>
          <w:rFonts w:ascii="Times New Roman" w:hAnsi="Times New Roman" w:cs="Times New Roman"/>
        </w:rPr>
        <w:t>la participación</w:t>
      </w:r>
      <w:r w:rsidR="00871C61">
        <w:rPr>
          <w:rFonts w:ascii="Times New Roman" w:hAnsi="Times New Roman" w:cs="Times New Roman"/>
        </w:rPr>
        <w:t xml:space="preserve"> política y el sentido de lo público</w:t>
      </w:r>
      <w:r w:rsidRPr="00BA20B4">
        <w:rPr>
          <w:rFonts w:ascii="Times New Roman" w:hAnsi="Times New Roman" w:cs="Times New Roman"/>
        </w:rPr>
        <w:t xml:space="preserve">. </w:t>
      </w:r>
    </w:p>
    <w:p w:rsidR="00F75AA3" w:rsidRPr="000C04AC" w:rsidRDefault="00F75AA3" w:rsidP="000C04AC">
      <w:pPr>
        <w:tabs>
          <w:tab w:val="left" w:pos="0"/>
          <w:tab w:val="left" w:pos="540"/>
        </w:tabs>
        <w:jc w:val="both"/>
        <w:rPr>
          <w:rFonts w:ascii="Times New Roman" w:hAnsi="Times New Roman" w:cs="Times New Roman"/>
        </w:rPr>
      </w:pPr>
    </w:p>
    <w:p w:rsidR="00B31501" w:rsidRPr="00B31501" w:rsidRDefault="00B31501" w:rsidP="00B31501">
      <w:pPr>
        <w:autoSpaceDE w:val="0"/>
        <w:autoSpaceDN w:val="0"/>
        <w:adjustRightInd w:val="0"/>
        <w:jc w:val="both"/>
        <w:rPr>
          <w:rFonts w:ascii="Times New Roman" w:hAnsi="Times New Roman" w:cs="Times New Roman"/>
          <w:b/>
        </w:rPr>
      </w:pPr>
      <w:r w:rsidRPr="00B31501">
        <w:rPr>
          <w:rFonts w:ascii="Times New Roman" w:hAnsi="Times New Roman" w:cs="Times New Roman"/>
          <w:b/>
        </w:rPr>
        <w:t xml:space="preserve">La formación integral para </w:t>
      </w:r>
      <w:r w:rsidR="001F02C0">
        <w:rPr>
          <w:rFonts w:ascii="Times New Roman" w:hAnsi="Times New Roman" w:cs="Times New Roman"/>
          <w:b/>
        </w:rPr>
        <w:t xml:space="preserve">el buen vivir </w:t>
      </w:r>
      <w:r w:rsidRPr="00B31501">
        <w:rPr>
          <w:rFonts w:ascii="Times New Roman" w:hAnsi="Times New Roman" w:cs="Times New Roman"/>
          <w:b/>
        </w:rPr>
        <w:t>y su relación con la calidad</w:t>
      </w:r>
    </w:p>
    <w:p w:rsidR="00B31501" w:rsidRPr="00BA20B4" w:rsidRDefault="00B31501" w:rsidP="000A2012">
      <w:pPr>
        <w:jc w:val="both"/>
        <w:rPr>
          <w:rFonts w:ascii="Times New Roman" w:hAnsi="Times New Roman" w:cs="Times New Roman"/>
          <w:b/>
        </w:rPr>
      </w:pPr>
    </w:p>
    <w:p w:rsidR="000A2012" w:rsidRPr="00BA20B4" w:rsidRDefault="000A2012" w:rsidP="000A2012">
      <w:pPr>
        <w:jc w:val="both"/>
        <w:rPr>
          <w:rFonts w:ascii="Times New Roman" w:hAnsi="Times New Roman" w:cs="Times New Roman"/>
        </w:rPr>
      </w:pPr>
      <w:r w:rsidRPr="00BA20B4">
        <w:rPr>
          <w:rFonts w:ascii="Times New Roman" w:hAnsi="Times New Roman" w:cs="Times New Roman"/>
        </w:rPr>
        <w:t xml:space="preserve">Fernando Savater en su libro “Ética para Amador” plantea como parte del desarrollo humano y del propósito de la educación darse </w:t>
      </w:r>
      <w:r w:rsidR="002B1309">
        <w:rPr>
          <w:rFonts w:ascii="Times New Roman" w:hAnsi="Times New Roman" w:cs="Times New Roman"/>
        </w:rPr>
        <w:t>un buen vivir</w:t>
      </w:r>
      <w:r w:rsidRPr="00BA20B4">
        <w:rPr>
          <w:rFonts w:ascii="Times New Roman" w:hAnsi="Times New Roman" w:cs="Times New Roman"/>
        </w:rPr>
        <w:t xml:space="preserve">, es decir, cumplir con las aspiraciones personales, hacer lo que se quiere bajo una ética de respecto al mundo y a los derechos de los demás, y utilizar todas las capacidades psicológicas, sociales y emocionales para ser feliz. </w:t>
      </w:r>
      <w:r w:rsidR="00FA53CB">
        <w:rPr>
          <w:rFonts w:ascii="Times New Roman" w:hAnsi="Times New Roman" w:cs="Times New Roman"/>
        </w:rPr>
        <w:t xml:space="preserve">La educación es el proceso mediante el cual se desarrollan y perfeccionan las facultades intelectuales y morales de las personas mediante diversos métodos e instrumentos. </w:t>
      </w:r>
      <w:r w:rsidRPr="00BA20B4">
        <w:rPr>
          <w:rFonts w:ascii="Times New Roman" w:hAnsi="Times New Roman" w:cs="Times New Roman"/>
        </w:rPr>
        <w:t>Delors</w:t>
      </w:r>
      <w:r w:rsidRPr="00BA20B4">
        <w:rPr>
          <w:rStyle w:val="Refdenotaalpie"/>
          <w:rFonts w:ascii="Times New Roman" w:hAnsi="Times New Roman"/>
        </w:rPr>
        <w:footnoteReference w:id="26"/>
      </w:r>
      <w:r w:rsidRPr="00BA20B4">
        <w:rPr>
          <w:rFonts w:ascii="Times New Roman" w:hAnsi="Times New Roman" w:cs="Times New Roman"/>
        </w:rPr>
        <w:t xml:space="preserve"> ha acuñado el concepto de “educación a lo largo de la vida”, </w:t>
      </w:r>
      <w:r w:rsidR="002B1309">
        <w:rPr>
          <w:rFonts w:ascii="Times New Roman" w:hAnsi="Times New Roman" w:cs="Times New Roman"/>
        </w:rPr>
        <w:t xml:space="preserve">como un proceso continuo, inacabable y </w:t>
      </w:r>
      <w:r w:rsidRPr="00BA20B4">
        <w:rPr>
          <w:rFonts w:ascii="Times New Roman" w:hAnsi="Times New Roman" w:cs="Times New Roman"/>
        </w:rPr>
        <w:t>sostenid</w:t>
      </w:r>
      <w:r w:rsidR="002B1309">
        <w:rPr>
          <w:rFonts w:ascii="Times New Roman" w:hAnsi="Times New Roman" w:cs="Times New Roman"/>
        </w:rPr>
        <w:t>o</w:t>
      </w:r>
      <w:r w:rsidRPr="00BA20B4">
        <w:rPr>
          <w:rFonts w:ascii="Times New Roman" w:hAnsi="Times New Roman" w:cs="Times New Roman"/>
        </w:rPr>
        <w:t xml:space="preserve"> en cuatro ejes de aprendizaje: </w:t>
      </w:r>
      <w:r w:rsidR="00383402" w:rsidRPr="00383402">
        <w:rPr>
          <w:rFonts w:ascii="Times New Roman" w:hAnsi="Times New Roman" w:cs="Times New Roman"/>
          <w:b/>
        </w:rPr>
        <w:t>aprender a conocer</w:t>
      </w:r>
      <w:r w:rsidRPr="00BA20B4">
        <w:rPr>
          <w:rFonts w:ascii="Times New Roman" w:hAnsi="Times New Roman" w:cs="Times New Roman"/>
        </w:rPr>
        <w:t xml:space="preserve"> (combinando unos saberes específicos con la posibilidad de su profundización); </w:t>
      </w:r>
      <w:r w:rsidR="00383402" w:rsidRPr="00383402">
        <w:rPr>
          <w:rFonts w:ascii="Times New Roman" w:hAnsi="Times New Roman" w:cs="Times New Roman"/>
          <w:b/>
        </w:rPr>
        <w:t>aprender a hacer</w:t>
      </w:r>
      <w:r w:rsidRPr="00BA20B4">
        <w:rPr>
          <w:rFonts w:ascii="Times New Roman" w:hAnsi="Times New Roman" w:cs="Times New Roman"/>
        </w:rPr>
        <w:t xml:space="preserve"> (adquiriendo una competencia definida como la capacidad real de llevar una tarea en un contexto dado que en esencia es cambiante); </w:t>
      </w:r>
      <w:r w:rsidR="00383402" w:rsidRPr="00383402">
        <w:rPr>
          <w:rFonts w:ascii="Times New Roman" w:hAnsi="Times New Roman" w:cs="Times New Roman"/>
          <w:b/>
        </w:rPr>
        <w:t>aprender a vivir juntos</w:t>
      </w:r>
      <w:r w:rsidRPr="00BA20B4">
        <w:rPr>
          <w:rFonts w:ascii="Times New Roman" w:hAnsi="Times New Roman" w:cs="Times New Roman"/>
        </w:rPr>
        <w:t xml:space="preserve"> (desarrollando la comprensión, respecto y percepción del otro); y </w:t>
      </w:r>
      <w:r w:rsidR="00383402" w:rsidRPr="00383402">
        <w:rPr>
          <w:rFonts w:ascii="Times New Roman" w:hAnsi="Times New Roman" w:cs="Times New Roman"/>
          <w:b/>
        </w:rPr>
        <w:t>aprender a ser</w:t>
      </w:r>
      <w:r w:rsidRPr="00BA20B4">
        <w:rPr>
          <w:rFonts w:ascii="Times New Roman" w:hAnsi="Times New Roman" w:cs="Times New Roman"/>
        </w:rPr>
        <w:t xml:space="preserve"> (cultivando la personalidad propia con autonomía, juicio y responsabilidad). Todos estos aprendizajes dotan al individuo de herramientas para resolver diversos problemas, afrontar situaciones inesperadas, relacionarse con el mundo y sus semejantes, aportar al desarrollo social, y tener la capacidad de aprender constantemente. </w:t>
      </w:r>
    </w:p>
    <w:p w:rsidR="000A2012" w:rsidRPr="00BA20B4" w:rsidRDefault="000A2012" w:rsidP="000A2012">
      <w:pPr>
        <w:jc w:val="both"/>
        <w:rPr>
          <w:rFonts w:ascii="Times New Roman" w:hAnsi="Times New Roman" w:cs="Times New Roman"/>
        </w:rPr>
      </w:pPr>
    </w:p>
    <w:p w:rsidR="000A2012" w:rsidRPr="00BA20B4" w:rsidRDefault="000A2012" w:rsidP="000A2012">
      <w:pPr>
        <w:jc w:val="both"/>
        <w:rPr>
          <w:rFonts w:ascii="Times New Roman" w:hAnsi="Times New Roman" w:cs="Times New Roman"/>
        </w:rPr>
      </w:pPr>
      <w:r w:rsidRPr="00BA20B4">
        <w:rPr>
          <w:rFonts w:ascii="Times New Roman" w:hAnsi="Times New Roman" w:cs="Times New Roman"/>
        </w:rPr>
        <w:t xml:space="preserve">Este concepto de aprendizaje </w:t>
      </w:r>
      <w:r w:rsidR="007B112E" w:rsidRPr="00BA20B4">
        <w:rPr>
          <w:rFonts w:ascii="Times New Roman" w:hAnsi="Times New Roman" w:cs="Times New Roman"/>
        </w:rPr>
        <w:t xml:space="preserve">supone </w:t>
      </w:r>
      <w:r w:rsidR="007B1E84">
        <w:rPr>
          <w:rFonts w:ascii="Times New Roman" w:hAnsi="Times New Roman" w:cs="Times New Roman"/>
        </w:rPr>
        <w:t xml:space="preserve">además </w:t>
      </w:r>
      <w:r w:rsidRPr="00BA20B4">
        <w:rPr>
          <w:rFonts w:ascii="Times New Roman" w:hAnsi="Times New Roman" w:cs="Times New Roman"/>
        </w:rPr>
        <w:t xml:space="preserve">que la educación es una práctica </w:t>
      </w:r>
      <w:r w:rsidR="007B1E84">
        <w:rPr>
          <w:rFonts w:ascii="Times New Roman" w:hAnsi="Times New Roman" w:cs="Times New Roman"/>
        </w:rPr>
        <w:t xml:space="preserve">inherente a </w:t>
      </w:r>
      <w:r w:rsidRPr="00BA20B4">
        <w:rPr>
          <w:rFonts w:ascii="Times New Roman" w:hAnsi="Times New Roman" w:cs="Times New Roman"/>
        </w:rPr>
        <w:t>todos los contextos sociales</w:t>
      </w:r>
      <w:r w:rsidR="007B112E" w:rsidRPr="00BA20B4">
        <w:rPr>
          <w:rFonts w:ascii="Times New Roman" w:hAnsi="Times New Roman" w:cs="Times New Roman"/>
        </w:rPr>
        <w:t xml:space="preserve">, planteando </w:t>
      </w:r>
      <w:r w:rsidRPr="00BA20B4">
        <w:rPr>
          <w:rFonts w:ascii="Times New Roman" w:hAnsi="Times New Roman" w:cs="Times New Roman"/>
        </w:rPr>
        <w:t>una visión sistémica</w:t>
      </w:r>
      <w:r w:rsidR="007E31A0">
        <w:rPr>
          <w:rFonts w:ascii="Times New Roman" w:hAnsi="Times New Roman" w:cs="Times New Roman"/>
        </w:rPr>
        <w:t>:</w:t>
      </w:r>
      <w:r w:rsidR="00CF673F">
        <w:rPr>
          <w:rFonts w:ascii="Times New Roman" w:hAnsi="Times New Roman" w:cs="Times New Roman"/>
        </w:rPr>
        <w:t xml:space="preserve"> </w:t>
      </w:r>
      <w:r w:rsidR="007E31A0">
        <w:rPr>
          <w:rFonts w:ascii="Times New Roman" w:hAnsi="Times New Roman" w:cs="Times New Roman"/>
        </w:rPr>
        <w:t>p</w:t>
      </w:r>
      <w:r w:rsidRPr="00BA20B4">
        <w:rPr>
          <w:rFonts w:ascii="Times New Roman" w:hAnsi="Times New Roman" w:cs="Times New Roman"/>
        </w:rPr>
        <w:t xml:space="preserve">odemos aprender en todo lo </w:t>
      </w:r>
      <w:r w:rsidRPr="00BA20B4">
        <w:rPr>
          <w:rFonts w:ascii="Times New Roman" w:hAnsi="Times New Roman" w:cs="Times New Roman"/>
        </w:rPr>
        <w:lastRenderedPageBreak/>
        <w:t xml:space="preserve">que está presente en nuestra cotidianidad, y a la vez, nuestra cotidianidad afecta todo lo que aprendemos y el modo en el que aprendemos. </w:t>
      </w:r>
    </w:p>
    <w:p w:rsidR="003240F0" w:rsidRDefault="003240F0" w:rsidP="000A2012">
      <w:pPr>
        <w:autoSpaceDE w:val="0"/>
        <w:autoSpaceDN w:val="0"/>
        <w:adjustRightInd w:val="0"/>
        <w:jc w:val="both"/>
        <w:rPr>
          <w:rFonts w:ascii="Times New Roman" w:hAnsi="Times New Roman" w:cs="Times New Roman"/>
        </w:rPr>
      </w:pPr>
    </w:p>
    <w:p w:rsidR="001F02C0" w:rsidRPr="0026454F" w:rsidRDefault="000C04AC" w:rsidP="001F02C0">
      <w:pPr>
        <w:autoSpaceDE w:val="0"/>
        <w:autoSpaceDN w:val="0"/>
        <w:adjustRightInd w:val="0"/>
        <w:jc w:val="both"/>
        <w:rPr>
          <w:rFonts w:ascii="Times New Roman" w:hAnsi="Times New Roman" w:cs="Times New Roman"/>
        </w:rPr>
      </w:pPr>
      <w:r w:rsidRPr="00BA20B4">
        <w:rPr>
          <w:rFonts w:ascii="Times New Roman" w:hAnsi="Times New Roman"/>
        </w:rPr>
        <w:t xml:space="preserve">La Bogotá Humana entiende la calidad en la educación como un proceso que supone el aprendizaje  integral para </w:t>
      </w:r>
      <w:r>
        <w:rPr>
          <w:rFonts w:ascii="Times New Roman" w:hAnsi="Times New Roman"/>
        </w:rPr>
        <w:t>el</w:t>
      </w:r>
      <w:r w:rsidRPr="00BA20B4">
        <w:rPr>
          <w:rFonts w:ascii="Times New Roman" w:hAnsi="Times New Roman"/>
        </w:rPr>
        <w:t xml:space="preserve"> buen vi</w:t>
      </w:r>
      <w:r>
        <w:rPr>
          <w:rFonts w:ascii="Times New Roman" w:hAnsi="Times New Roman"/>
        </w:rPr>
        <w:t xml:space="preserve">vir </w:t>
      </w:r>
      <w:r w:rsidRPr="00BA20B4">
        <w:rPr>
          <w:rFonts w:ascii="Times New Roman" w:hAnsi="Times New Roman"/>
        </w:rPr>
        <w:t>en dos aspectos esenciales</w:t>
      </w:r>
      <w:r>
        <w:rPr>
          <w:rFonts w:ascii="Times New Roman" w:hAnsi="Times New Roman"/>
        </w:rPr>
        <w:t xml:space="preserve">: la formación académica y el desarrollo de capacidades ciudadanas. </w:t>
      </w:r>
      <w:r w:rsidR="001F02C0">
        <w:rPr>
          <w:rFonts w:ascii="Times New Roman" w:hAnsi="Times New Roman" w:cs="Times New Roman"/>
        </w:rPr>
        <w:t>El buen vivir</w:t>
      </w:r>
      <w:r w:rsidR="001F02C0" w:rsidRPr="0026454F">
        <w:rPr>
          <w:rFonts w:ascii="Times New Roman" w:hAnsi="Times New Roman" w:cs="Times New Roman"/>
        </w:rPr>
        <w:t xml:space="preserve"> supone entonces una formación integral que incluye diversas facetas y </w:t>
      </w:r>
      <w:r w:rsidR="001F02C0" w:rsidRPr="0026454F">
        <w:rPr>
          <w:rFonts w:ascii="Times New Roman" w:eastAsia="NewBaskervilleStd-Roman" w:hAnsi="Times New Roman" w:cs="Times New Roman"/>
          <w:lang w:val="es-CO" w:eastAsia="en-US"/>
        </w:rPr>
        <w:t>un conjunto articulado de conocimientos, habilidades y actitudes que debe poseer una persona</w:t>
      </w:r>
      <w:r w:rsidR="00CF673F">
        <w:rPr>
          <w:rFonts w:ascii="Times New Roman" w:eastAsia="NewBaskervilleStd-Roman" w:hAnsi="Times New Roman" w:cs="Times New Roman"/>
          <w:lang w:val="es-CO" w:eastAsia="en-US"/>
        </w:rPr>
        <w:t xml:space="preserve"> </w:t>
      </w:r>
      <w:r w:rsidR="00E9546C">
        <w:rPr>
          <w:rFonts w:ascii="Times New Roman" w:eastAsia="NewBaskervilleStd-Roman" w:hAnsi="Times New Roman" w:cs="Times New Roman"/>
          <w:lang w:val="es-CO" w:eastAsia="en-US"/>
        </w:rPr>
        <w:t xml:space="preserve">para vivir bien con los demás y desarrollar sus capacidades individuales. </w:t>
      </w:r>
      <w:r w:rsidR="001F02C0" w:rsidRPr="0026454F">
        <w:rPr>
          <w:rFonts w:ascii="Times New Roman" w:hAnsi="Times New Roman" w:cs="Times New Roman"/>
        </w:rPr>
        <w:t>“</w:t>
      </w:r>
      <w:r w:rsidR="001F02C0" w:rsidRPr="0026454F">
        <w:rPr>
          <w:rFonts w:ascii="Times New Roman" w:eastAsia="NewBaskervilleStd-Roman" w:hAnsi="Times New Roman" w:cs="Times New Roman"/>
          <w:lang w:val="es-CO" w:eastAsia="en-US"/>
        </w:rPr>
        <w:t>Seguramente estaremos de acuerdo en que el resultado de una formación integral sea aquel que permita a la persona dar respuesta e intervenir de la manera m</w:t>
      </w:r>
      <w:r w:rsidR="00E9546C">
        <w:rPr>
          <w:rFonts w:ascii="Times New Roman" w:eastAsia="NewBaskervilleStd-Roman" w:hAnsi="Times New Roman" w:cs="Times New Roman"/>
          <w:lang w:val="es-CO" w:eastAsia="en-US"/>
        </w:rPr>
        <w:t>á</w:t>
      </w:r>
      <w:r w:rsidR="001F02C0" w:rsidRPr="0026454F">
        <w:rPr>
          <w:rFonts w:ascii="Times New Roman" w:eastAsia="NewBaskervilleStd-Roman" w:hAnsi="Times New Roman" w:cs="Times New Roman"/>
          <w:lang w:val="es-CO" w:eastAsia="en-US"/>
        </w:rPr>
        <w:t>s apropiada posible con respecto a los problemas y cuestiones que le va a deparar la vida en todos sus ámbitos de actuación”</w:t>
      </w:r>
      <w:r w:rsidR="001F02C0" w:rsidRPr="00BA20B4">
        <w:rPr>
          <w:rStyle w:val="Refdenotaalpie"/>
          <w:rFonts w:ascii="Times New Roman" w:hAnsi="Times New Roman"/>
        </w:rPr>
        <w:footnoteReference w:id="27"/>
      </w:r>
      <w:r w:rsidR="001F02C0" w:rsidRPr="0026454F">
        <w:rPr>
          <w:rFonts w:ascii="Times New Roman" w:eastAsia="NewBaskervilleStd-Roman" w:hAnsi="Times New Roman" w:cs="Times New Roman"/>
          <w:lang w:val="es-CO" w:eastAsia="en-US"/>
        </w:rPr>
        <w:t xml:space="preserve">. </w:t>
      </w:r>
    </w:p>
    <w:p w:rsidR="005B2361" w:rsidRDefault="005B2361" w:rsidP="000A2012">
      <w:pPr>
        <w:autoSpaceDE w:val="0"/>
        <w:autoSpaceDN w:val="0"/>
        <w:adjustRightInd w:val="0"/>
        <w:jc w:val="both"/>
        <w:rPr>
          <w:rFonts w:ascii="Times New Roman" w:hAnsi="Times New Roman" w:cs="Times New Roman"/>
        </w:rPr>
      </w:pPr>
    </w:p>
    <w:p w:rsidR="005B2361" w:rsidRPr="00FA4DF0" w:rsidRDefault="005B2361" w:rsidP="005B2361">
      <w:pPr>
        <w:autoSpaceDE w:val="0"/>
        <w:autoSpaceDN w:val="0"/>
        <w:adjustRightInd w:val="0"/>
        <w:jc w:val="both"/>
        <w:rPr>
          <w:rFonts w:ascii="Times New Roman" w:hAnsi="Times New Roman" w:cs="Times New Roman"/>
          <w:color w:val="000000"/>
        </w:rPr>
      </w:pPr>
      <w:r w:rsidRPr="00C4014E">
        <w:rPr>
          <w:rFonts w:ascii="Times New Roman" w:hAnsi="Times New Roman" w:cs="Times New Roman"/>
        </w:rPr>
        <w:t>Este aprendizaje integral encierra dentro de sí atributos importantes en relación con la posibilidad de acceder a una educación de calidad. En otras palabras, la calidad de la educación se materializa en un sujeto que aprende de manera integral diversos saberes que lo preparan para</w:t>
      </w:r>
      <w:r w:rsidR="00C45241">
        <w:rPr>
          <w:rFonts w:ascii="Times New Roman" w:hAnsi="Times New Roman" w:cs="Times New Roman"/>
        </w:rPr>
        <w:t xml:space="preserve"> el buen vivir</w:t>
      </w:r>
      <w:r w:rsidRPr="00C4014E">
        <w:rPr>
          <w:rFonts w:ascii="Times New Roman" w:hAnsi="Times New Roman" w:cs="Times New Roman"/>
        </w:rPr>
        <w:t xml:space="preserve">, y a su vez, el derecho a acceder a una educación de calidad depende </w:t>
      </w:r>
      <w:r>
        <w:rPr>
          <w:rFonts w:ascii="Times New Roman" w:hAnsi="Times New Roman" w:cs="Times New Roman"/>
        </w:rPr>
        <w:t xml:space="preserve">de </w:t>
      </w:r>
      <w:r w:rsidR="00EC55AA">
        <w:rPr>
          <w:rFonts w:ascii="Times New Roman" w:hAnsi="Times New Roman" w:cs="Times New Roman"/>
        </w:rPr>
        <w:t>un conjunto</w:t>
      </w:r>
      <w:r w:rsidRPr="00C4014E">
        <w:rPr>
          <w:rFonts w:ascii="Times New Roman" w:hAnsi="Times New Roman" w:cs="Times New Roman"/>
        </w:rPr>
        <w:t xml:space="preserve"> de elementos culturales, políticos, científicos, pedagógicos y administrativos que interactúan de formas muy variadas y que involucran a la sociedad, el Estado y la familia como actores determinantes. Si se restringe la mirada a los procesos que el Estado y la </w:t>
      </w:r>
      <w:r>
        <w:rPr>
          <w:rFonts w:ascii="Times New Roman" w:hAnsi="Times New Roman" w:cs="Times New Roman"/>
        </w:rPr>
        <w:t>institucionalidad</w:t>
      </w:r>
      <w:r w:rsidRPr="00C4014E">
        <w:rPr>
          <w:rFonts w:ascii="Times New Roman" w:hAnsi="Times New Roman" w:cs="Times New Roman"/>
        </w:rPr>
        <w:t xml:space="preserve"> adelantan para garantizar el acceso a un sistema </w:t>
      </w:r>
      <w:r w:rsidR="00C45241">
        <w:rPr>
          <w:rFonts w:ascii="Times New Roman" w:hAnsi="Times New Roman" w:cs="Times New Roman"/>
        </w:rPr>
        <w:t xml:space="preserve">educativo </w:t>
      </w:r>
      <w:r w:rsidRPr="00C4014E">
        <w:rPr>
          <w:rFonts w:ascii="Times New Roman" w:hAnsi="Times New Roman" w:cs="Times New Roman"/>
        </w:rPr>
        <w:t xml:space="preserve">de calidad, encontramos nuevamente que el propósito supone </w:t>
      </w:r>
      <w:r>
        <w:rPr>
          <w:rFonts w:ascii="Times New Roman" w:hAnsi="Times New Roman" w:cs="Times New Roman"/>
        </w:rPr>
        <w:t xml:space="preserve">múltiples </w:t>
      </w:r>
      <w:r w:rsidRPr="00C4014E">
        <w:rPr>
          <w:rFonts w:ascii="Times New Roman" w:hAnsi="Times New Roman" w:cs="Times New Roman"/>
        </w:rPr>
        <w:t>condiciones y factores que involucran aspectos esenciales en relación</w:t>
      </w:r>
      <w:r>
        <w:rPr>
          <w:rFonts w:ascii="Times New Roman" w:hAnsi="Times New Roman" w:cs="Times New Roman"/>
        </w:rPr>
        <w:t xml:space="preserve"> con</w:t>
      </w:r>
      <w:r w:rsidRPr="00C4014E">
        <w:rPr>
          <w:rFonts w:ascii="Times New Roman" w:hAnsi="Times New Roman" w:cs="Times New Roman"/>
        </w:rPr>
        <w:t xml:space="preserve"> los procesos de organización, gestión y financiación del sector</w:t>
      </w:r>
      <w:r>
        <w:rPr>
          <w:rFonts w:ascii="Times New Roman" w:hAnsi="Times New Roman" w:cs="Times New Roman"/>
        </w:rPr>
        <w:t>,</w:t>
      </w:r>
      <w:r w:rsidR="00CF673F">
        <w:rPr>
          <w:rFonts w:ascii="Times New Roman" w:hAnsi="Times New Roman" w:cs="Times New Roman"/>
        </w:rPr>
        <w:t xml:space="preserve"> </w:t>
      </w:r>
      <w:r>
        <w:rPr>
          <w:rFonts w:ascii="Times New Roman" w:hAnsi="Times New Roman" w:cs="Times New Roman"/>
        </w:rPr>
        <w:t>e</w:t>
      </w:r>
      <w:r w:rsidRPr="00C4014E">
        <w:rPr>
          <w:rFonts w:ascii="Times New Roman" w:hAnsi="Times New Roman" w:cs="Times New Roman"/>
        </w:rPr>
        <w:t>l bienestar</w:t>
      </w:r>
      <w:r>
        <w:rPr>
          <w:rFonts w:ascii="Times New Roman" w:hAnsi="Times New Roman" w:cs="Times New Roman"/>
        </w:rPr>
        <w:t xml:space="preserve"> de la comunidad educativa</w:t>
      </w:r>
      <w:r w:rsidRPr="00C4014E">
        <w:rPr>
          <w:rFonts w:ascii="Times New Roman" w:hAnsi="Times New Roman" w:cs="Times New Roman"/>
        </w:rPr>
        <w:t>, el rendimiento académico</w:t>
      </w:r>
      <w:r>
        <w:rPr>
          <w:rFonts w:ascii="Times New Roman" w:hAnsi="Times New Roman" w:cs="Times New Roman"/>
        </w:rPr>
        <w:t>,</w:t>
      </w:r>
      <w:r>
        <w:rPr>
          <w:rFonts w:ascii="Times New Roman" w:hAnsi="Times New Roman" w:cs="Times New Roman"/>
          <w:color w:val="000000"/>
        </w:rPr>
        <w:t xml:space="preserve"> el </w:t>
      </w:r>
      <w:r w:rsidRPr="00C4014E">
        <w:rPr>
          <w:rFonts w:ascii="Times New Roman" w:hAnsi="Times New Roman" w:cs="Times New Roman"/>
          <w:color w:val="000000"/>
        </w:rPr>
        <w:t xml:space="preserve">tránsito en los distintos </w:t>
      </w:r>
      <w:r>
        <w:rPr>
          <w:rFonts w:ascii="Times New Roman" w:hAnsi="Times New Roman" w:cs="Times New Roman"/>
          <w:color w:val="000000"/>
        </w:rPr>
        <w:t xml:space="preserve">niveles </w:t>
      </w:r>
      <w:r w:rsidRPr="00C4014E">
        <w:rPr>
          <w:rFonts w:ascii="Times New Roman" w:hAnsi="Times New Roman" w:cs="Times New Roman"/>
          <w:color w:val="000000"/>
        </w:rPr>
        <w:t xml:space="preserve">y ciclos de escolaridad, </w:t>
      </w:r>
      <w:r>
        <w:rPr>
          <w:rFonts w:ascii="Times New Roman" w:hAnsi="Times New Roman" w:cs="Times New Roman"/>
          <w:color w:val="000000"/>
        </w:rPr>
        <w:t xml:space="preserve">y </w:t>
      </w:r>
      <w:r w:rsidRPr="00C4014E">
        <w:rPr>
          <w:rFonts w:ascii="Times New Roman" w:hAnsi="Times New Roman" w:cs="Times New Roman"/>
        </w:rPr>
        <w:t xml:space="preserve">la satisfacción de necesidades materiales. </w:t>
      </w:r>
      <w:r>
        <w:rPr>
          <w:rFonts w:ascii="Times New Roman" w:hAnsi="Times New Roman" w:cs="Times New Roman"/>
        </w:rPr>
        <w:t xml:space="preserve">Desde esta perspectiva, </w:t>
      </w:r>
      <w:r w:rsidRPr="00315A50">
        <w:rPr>
          <w:rFonts w:ascii="Times New Roman" w:hAnsi="Times New Roman" w:cs="Times New Roman"/>
        </w:rPr>
        <w:t xml:space="preserve">la calidad </w:t>
      </w:r>
      <w:r>
        <w:rPr>
          <w:rFonts w:ascii="Times New Roman" w:hAnsi="Times New Roman" w:cs="Times New Roman"/>
        </w:rPr>
        <w:t xml:space="preserve">involucra a estrategias en </w:t>
      </w:r>
      <w:r w:rsidRPr="00C4014E">
        <w:rPr>
          <w:rFonts w:ascii="Times New Roman" w:hAnsi="Times New Roman" w:cs="Times New Roman"/>
        </w:rPr>
        <w:t>alimentación, transporte, maestros empoderados, formados y con bienestar, hábitat</w:t>
      </w:r>
      <w:r w:rsidRPr="00397474">
        <w:rPr>
          <w:rFonts w:ascii="Times New Roman" w:hAnsi="Times New Roman" w:cs="Times New Roman"/>
        </w:rPr>
        <w:t xml:space="preserve"> escolar digno, escuelas incluyentes, excelencia académica, aprendizaje de la ciudadanía y convivencia, descentralización de la gestión, conectividad y aprovechamiento de la tecnología, seguridad en los entornos escolares</w:t>
      </w:r>
      <w:r>
        <w:rPr>
          <w:rFonts w:ascii="Times New Roman" w:hAnsi="Times New Roman" w:cs="Times New Roman"/>
        </w:rPr>
        <w:t>,</w:t>
      </w:r>
      <w:r w:rsidR="00CF673F">
        <w:rPr>
          <w:rFonts w:ascii="Times New Roman" w:hAnsi="Times New Roman" w:cs="Times New Roman"/>
        </w:rPr>
        <w:t xml:space="preserve"> </w:t>
      </w:r>
      <w:r>
        <w:rPr>
          <w:rFonts w:ascii="Times New Roman" w:hAnsi="Times New Roman" w:cs="Times New Roman"/>
        </w:rPr>
        <w:t xml:space="preserve">gobierno escolar y participación, </w:t>
      </w:r>
      <w:r w:rsidRPr="00397474">
        <w:rPr>
          <w:rFonts w:ascii="Times New Roman" w:hAnsi="Times New Roman" w:cs="Times New Roman"/>
        </w:rPr>
        <w:t>deporte en el mundo de la educación, art</w:t>
      </w:r>
      <w:r w:rsidR="00EC55AA">
        <w:rPr>
          <w:rFonts w:ascii="Times New Roman" w:hAnsi="Times New Roman" w:cs="Times New Roman"/>
        </w:rPr>
        <w:t>e en el mundo de la educación,</w:t>
      </w:r>
      <w:r w:rsidRPr="00397474">
        <w:rPr>
          <w:rFonts w:ascii="Times New Roman" w:hAnsi="Times New Roman" w:cs="Times New Roman"/>
        </w:rPr>
        <w:t xml:space="preserve"> educación ambiental,</w:t>
      </w:r>
      <w:r w:rsidR="00EC55AA">
        <w:rPr>
          <w:rFonts w:ascii="Times New Roman" w:hAnsi="Times New Roman" w:cs="Times New Roman"/>
        </w:rPr>
        <w:t xml:space="preserve"> formación práctica y ética</w:t>
      </w:r>
      <w:r w:rsidRPr="00397474">
        <w:rPr>
          <w:rFonts w:ascii="Times New Roman" w:hAnsi="Times New Roman" w:cs="Times New Roman"/>
        </w:rPr>
        <w:t xml:space="preserve"> entre otros.</w:t>
      </w:r>
    </w:p>
    <w:p w:rsidR="000A2012" w:rsidRDefault="000A2012" w:rsidP="000A2012">
      <w:pPr>
        <w:autoSpaceDE w:val="0"/>
        <w:autoSpaceDN w:val="0"/>
        <w:adjustRightInd w:val="0"/>
        <w:jc w:val="both"/>
        <w:rPr>
          <w:rFonts w:ascii="Times New Roman" w:hAnsi="Times New Roman" w:cs="Times New Roman"/>
        </w:rPr>
      </w:pPr>
    </w:p>
    <w:p w:rsidR="000D7A38" w:rsidRPr="00BA20B4" w:rsidRDefault="000D7A38" w:rsidP="000D7A38">
      <w:pPr>
        <w:autoSpaceDE w:val="0"/>
        <w:autoSpaceDN w:val="0"/>
        <w:adjustRightInd w:val="0"/>
        <w:jc w:val="both"/>
        <w:rPr>
          <w:rFonts w:ascii="Times New Roman" w:hAnsi="Times New Roman" w:cs="Times New Roman"/>
        </w:rPr>
      </w:pPr>
      <w:r w:rsidRPr="00BA20B4">
        <w:rPr>
          <w:rFonts w:ascii="Times New Roman" w:hAnsi="Times New Roman" w:cs="Times New Roman"/>
        </w:rPr>
        <w:t xml:space="preserve">Desde una perspectiva de política pública, la Bogotá Humana considera que es necesario abordar </w:t>
      </w:r>
      <w:r>
        <w:rPr>
          <w:rFonts w:ascii="Times New Roman" w:hAnsi="Times New Roman" w:cs="Times New Roman"/>
        </w:rPr>
        <w:t xml:space="preserve">el ejercicio del derecho a la educación desde un enfoque de desarrollo humano, que se enfrente al gran desafío de transformar el sistema educativo tradicional hacia la finalidad de educar para el buen vivir, formando </w:t>
      </w:r>
      <w:r w:rsidRPr="00BA20B4">
        <w:rPr>
          <w:rFonts w:ascii="Times New Roman" w:hAnsi="Times New Roman" w:cs="Times New Roman"/>
        </w:rPr>
        <w:t>individuos y ciudadanos integrales.</w:t>
      </w:r>
      <w:r w:rsidR="00EC55AA">
        <w:rPr>
          <w:rFonts w:ascii="Times New Roman" w:hAnsi="Times New Roman" w:cs="Times New Roman"/>
        </w:rPr>
        <w:t xml:space="preserve"> Debe impulsar y potenciar la perspectiva </w:t>
      </w:r>
      <w:r w:rsidR="00EC55AA" w:rsidRPr="00BA20B4">
        <w:rPr>
          <w:rFonts w:ascii="Times New Roman" w:hAnsi="Times New Roman" w:cs="Times New Roman"/>
        </w:rPr>
        <w:t xml:space="preserve">de desarrollo humano, </w:t>
      </w:r>
      <w:r w:rsidR="00EC55AA">
        <w:rPr>
          <w:rFonts w:ascii="Times New Roman" w:hAnsi="Times New Roman" w:cs="Times New Roman"/>
        </w:rPr>
        <w:t>mediante el pensamiento y las prácticas de formación integral de individuos y ciudadanos con profundo sentido de lo público.</w:t>
      </w:r>
      <w:r w:rsidRPr="00BA20B4">
        <w:rPr>
          <w:rFonts w:ascii="Times New Roman" w:hAnsi="Times New Roman" w:cs="Times New Roman"/>
        </w:rPr>
        <w:t xml:space="preserve"> Esto implica que el contenido de la educación no solamente se enfoque en las habilidades básicas requeridas por el sistema productivo sino que incorpore o consolide las humanidades y las artes como condición necesaria para estimular un pensamiento crítico e individuos con valores y principios democráticos.</w:t>
      </w:r>
      <w:r>
        <w:rPr>
          <w:rFonts w:ascii="Times New Roman" w:hAnsi="Times New Roman" w:cs="Times New Roman"/>
        </w:rPr>
        <w:t xml:space="preserve"> En materia de</w:t>
      </w:r>
      <w:r w:rsidR="00D349D7">
        <w:rPr>
          <w:rFonts w:ascii="Times New Roman" w:hAnsi="Times New Roman" w:cs="Times New Roman"/>
        </w:rPr>
        <w:t xml:space="preserve"> </w:t>
      </w:r>
      <w:r w:rsidRPr="00BA20B4">
        <w:rPr>
          <w:rFonts w:ascii="Times New Roman" w:hAnsi="Times New Roman" w:cs="Times New Roman"/>
        </w:rPr>
        <w:t xml:space="preserve">los métodos pedagógicos esto implica avanzar hacia la superación de los procedimientos pasivos fundamentados en </w:t>
      </w:r>
      <w:r w:rsidRPr="00BA20B4">
        <w:rPr>
          <w:rFonts w:ascii="Times New Roman" w:hAnsi="Times New Roman" w:cs="Times New Roman"/>
        </w:rPr>
        <w:lastRenderedPageBreak/>
        <w:t xml:space="preserve">la oferta de información, en la memorización y en la repetición mecánica, a favor de técnicas activas basadas en la participación de los estudiantes en la generación del conocimiento. En palabras de Nussbaum, este enfoque de la educación activa, “plantea que la educación no consiste en la asimilación pasiva de hechos y tradiciones culturales, sino en retar a la mente para que sea activa, competente e inteligentemente crítica en un mundo complejo. Este modelo de educación sustituye uno anterior en el cual los niños se sentaban quietos en sus pupitres todo el día y simplemente absorbían, y luego repetían mecánicamente, el material que se les había entregado.” </w:t>
      </w:r>
      <w:r>
        <w:rPr>
          <w:rStyle w:val="Refdenotaalpie"/>
          <w:rFonts w:ascii="Times New Roman" w:hAnsi="Times New Roman" w:cs="Times New Roman"/>
        </w:rPr>
        <w:footnoteReference w:id="28"/>
      </w:r>
      <w:r w:rsidRPr="00BA20B4">
        <w:rPr>
          <w:rFonts w:ascii="Times New Roman" w:hAnsi="Times New Roman" w:cs="Times New Roman"/>
        </w:rPr>
        <w:t xml:space="preserve">. </w:t>
      </w:r>
    </w:p>
    <w:p w:rsidR="000D7A38" w:rsidRPr="00BA20B4" w:rsidRDefault="000D7A38" w:rsidP="000A2012">
      <w:pPr>
        <w:autoSpaceDE w:val="0"/>
        <w:autoSpaceDN w:val="0"/>
        <w:adjustRightInd w:val="0"/>
        <w:jc w:val="both"/>
        <w:rPr>
          <w:rFonts w:ascii="Times New Roman" w:hAnsi="Times New Roman" w:cs="Times New Roman"/>
        </w:rPr>
      </w:pPr>
    </w:p>
    <w:p w:rsidR="005A5B0C" w:rsidRPr="00DC6C4F" w:rsidRDefault="005A5B0C" w:rsidP="00DC6C4F">
      <w:pPr>
        <w:pStyle w:val="Ttulo3"/>
        <w:rPr>
          <w:rFonts w:ascii="Times New Roman" w:hAnsi="Times New Roman"/>
        </w:rPr>
      </w:pPr>
      <w:bookmarkStart w:id="5" w:name="_Toc334448996"/>
      <w:bookmarkStart w:id="6" w:name="_Toc362358033"/>
      <w:r w:rsidRPr="00DC6C4F">
        <w:rPr>
          <w:rFonts w:ascii="Times New Roman" w:hAnsi="Times New Roman"/>
        </w:rPr>
        <w:t>1.</w:t>
      </w:r>
      <w:r w:rsidR="000A2012" w:rsidRPr="00DC6C4F">
        <w:rPr>
          <w:rFonts w:ascii="Times New Roman" w:hAnsi="Times New Roman"/>
        </w:rPr>
        <w:t>2</w:t>
      </w:r>
      <w:r w:rsidRPr="00DC6C4F">
        <w:rPr>
          <w:rFonts w:ascii="Times New Roman" w:hAnsi="Times New Roman"/>
        </w:rPr>
        <w:t>. El derecho a la e</w:t>
      </w:r>
      <w:r w:rsidR="00F856B3" w:rsidRPr="00DC6C4F">
        <w:rPr>
          <w:rFonts w:ascii="Times New Roman" w:hAnsi="Times New Roman"/>
        </w:rPr>
        <w:t xml:space="preserve">ducación </w:t>
      </w:r>
      <w:r w:rsidR="000A2012" w:rsidRPr="00DC6C4F">
        <w:rPr>
          <w:rFonts w:ascii="Times New Roman" w:hAnsi="Times New Roman"/>
        </w:rPr>
        <w:t>en Colombia</w:t>
      </w:r>
      <w:bookmarkEnd w:id="5"/>
      <w:bookmarkEnd w:id="6"/>
    </w:p>
    <w:p w:rsidR="005A5B0C" w:rsidRPr="00BA20B4" w:rsidRDefault="005A5B0C" w:rsidP="005A5B0C">
      <w:pPr>
        <w:pStyle w:val="Default"/>
        <w:jc w:val="both"/>
        <w:rPr>
          <w:rFonts w:ascii="Times New Roman" w:hAnsi="Times New Roman"/>
          <w:sz w:val="22"/>
          <w:szCs w:val="22"/>
          <w:lang w:val="es-ES"/>
        </w:rPr>
      </w:pPr>
    </w:p>
    <w:p w:rsidR="005A5B0C" w:rsidRPr="00DB1BCC" w:rsidRDefault="005A5B0C" w:rsidP="005A5B0C">
      <w:pPr>
        <w:pStyle w:val="NormalWeb"/>
        <w:spacing w:before="0" w:beforeAutospacing="0" w:after="0" w:afterAutospacing="0"/>
        <w:jc w:val="both"/>
        <w:rPr>
          <w:rFonts w:cs="Arial"/>
          <w:szCs w:val="22"/>
        </w:rPr>
      </w:pPr>
      <w:r w:rsidRPr="00BA20B4">
        <w:rPr>
          <w:rFonts w:cs="Arial"/>
          <w:szCs w:val="22"/>
          <w:lang w:val="es-MX"/>
        </w:rPr>
        <w:t xml:space="preserve">La Constitución Política de 1991 consagra los artículos </w:t>
      </w:r>
      <w:r w:rsidRPr="00BA20B4">
        <w:rPr>
          <w:rFonts w:cs="Arial"/>
          <w:szCs w:val="22"/>
        </w:rPr>
        <w:t xml:space="preserve">27, 41, 44, 67, 68, 69 y 70 al derecho a la educación, </w:t>
      </w:r>
      <w:r w:rsidRPr="00BA20B4">
        <w:rPr>
          <w:rFonts w:cs="Arial"/>
          <w:szCs w:val="22"/>
          <w:lang w:val="es-MX"/>
        </w:rPr>
        <w:t xml:space="preserve">estableciendo que “La educación es un derecho de la persona y un servicio público que tiene una función social; con ella se busca el acceso al conocimiento, a la ciencia, a la técnica, y a los demás bienes y valores de la cultura. </w:t>
      </w:r>
      <w:r w:rsidRPr="00BA20B4">
        <w:rPr>
          <w:rFonts w:cs="Arial"/>
          <w:szCs w:val="22"/>
        </w:rPr>
        <w:t>La educación formará al colombiano en el respeto a los derechos humanos, a la paz y a la democracia; y en la práctica del trabajo y la recreación, para el mejoramiento cultural, científico, tecnológico y para la protección del ambiente</w:t>
      </w:r>
      <w:r w:rsidRPr="00BA20B4">
        <w:rPr>
          <w:rFonts w:cs="Arial"/>
          <w:szCs w:val="22"/>
          <w:lang w:val="es-MX"/>
        </w:rPr>
        <w:t>”</w:t>
      </w:r>
      <w:r w:rsidRPr="00BA20B4">
        <w:rPr>
          <w:rStyle w:val="Refdenotaalpie"/>
          <w:rFonts w:eastAsia="Calibri" w:cs="Arial"/>
          <w:szCs w:val="22"/>
        </w:rPr>
        <w:footnoteReference w:id="29"/>
      </w:r>
      <w:r w:rsidRPr="00BA20B4">
        <w:rPr>
          <w:rFonts w:cs="Arial"/>
          <w:szCs w:val="22"/>
        </w:rPr>
        <w:t>.</w:t>
      </w:r>
    </w:p>
    <w:p w:rsidR="005A5B0C" w:rsidRPr="00BA20B4" w:rsidRDefault="005A5B0C" w:rsidP="005A5B0C">
      <w:pPr>
        <w:pStyle w:val="NormalWeb"/>
        <w:spacing w:before="0" w:beforeAutospacing="0" w:after="0" w:afterAutospacing="0"/>
        <w:jc w:val="both"/>
        <w:rPr>
          <w:rFonts w:cs="Arial"/>
          <w:sz w:val="22"/>
          <w:szCs w:val="22"/>
          <w:lang w:val="es-MX"/>
        </w:rPr>
      </w:pPr>
    </w:p>
    <w:p w:rsidR="005A5B0C" w:rsidRPr="00BA20B4" w:rsidRDefault="005A5B0C" w:rsidP="005A5B0C">
      <w:pPr>
        <w:pStyle w:val="NormalWeb"/>
        <w:spacing w:before="0" w:beforeAutospacing="0" w:after="0" w:afterAutospacing="0"/>
        <w:jc w:val="both"/>
        <w:rPr>
          <w:rFonts w:cs="Arial"/>
          <w:szCs w:val="22"/>
          <w:lang w:val="es-MX"/>
        </w:rPr>
      </w:pPr>
      <w:r w:rsidRPr="00BA20B4">
        <w:rPr>
          <w:rFonts w:cs="Arial"/>
          <w:szCs w:val="22"/>
          <w:lang w:val="es-MX"/>
        </w:rPr>
        <w:t>Desde esta perspectiva, la Corte Constitucional l</w:t>
      </w:r>
      <w:r w:rsidR="003275EE">
        <w:rPr>
          <w:rFonts w:cs="Arial"/>
          <w:szCs w:val="22"/>
          <w:lang w:val="es-MX"/>
        </w:rPr>
        <w:t>a</w:t>
      </w:r>
      <w:r w:rsidRPr="00BA20B4">
        <w:rPr>
          <w:rFonts w:cs="Arial"/>
          <w:szCs w:val="22"/>
          <w:lang w:val="es-MX"/>
        </w:rPr>
        <w:t xml:space="preserve"> establece como un derecho fundamental inherente al ser humano, encaminado al desarrollo integral del individuo y la sociedad</w:t>
      </w:r>
      <w:r w:rsidRPr="00BA20B4">
        <w:rPr>
          <w:rStyle w:val="Refdenotaalpie"/>
          <w:rFonts w:eastAsia="Calibri" w:cs="Arial"/>
          <w:szCs w:val="22"/>
        </w:rPr>
        <w:footnoteReference w:id="30"/>
      </w:r>
      <w:r w:rsidRPr="00BA20B4">
        <w:rPr>
          <w:rFonts w:cs="Arial"/>
          <w:szCs w:val="22"/>
          <w:lang w:eastAsia="es-ES"/>
        </w:rPr>
        <w:t>, que supone el acceso universal de todos los niños, niñas</w:t>
      </w:r>
      <w:r w:rsidR="003D404F">
        <w:rPr>
          <w:rFonts w:cs="Arial"/>
          <w:szCs w:val="22"/>
          <w:lang w:eastAsia="es-ES"/>
        </w:rPr>
        <w:t xml:space="preserve"> y jóvenes</w:t>
      </w:r>
      <w:r w:rsidRPr="00BA20B4">
        <w:rPr>
          <w:rFonts w:cs="Arial"/>
          <w:szCs w:val="22"/>
          <w:lang w:eastAsia="es-ES"/>
        </w:rPr>
        <w:t>, independientemente de su procedencia, situación social, económica o cultural.</w:t>
      </w:r>
      <w:r w:rsidR="00CF673F">
        <w:rPr>
          <w:rFonts w:cs="Arial"/>
          <w:szCs w:val="22"/>
          <w:lang w:eastAsia="es-ES"/>
        </w:rPr>
        <w:t xml:space="preserve"> </w:t>
      </w:r>
      <w:r w:rsidRPr="00BA20B4">
        <w:rPr>
          <w:rFonts w:cs="Arial"/>
          <w:szCs w:val="22"/>
        </w:rPr>
        <w:t xml:space="preserve">La educación como derecho fundamental </w:t>
      </w:r>
      <w:r w:rsidR="00243EC7">
        <w:rPr>
          <w:rFonts w:cs="Arial"/>
          <w:szCs w:val="22"/>
        </w:rPr>
        <w:t>tiene</w:t>
      </w:r>
      <w:r w:rsidRPr="00BA20B4">
        <w:rPr>
          <w:rFonts w:cs="Arial"/>
          <w:szCs w:val="22"/>
        </w:rPr>
        <w:t xml:space="preserve"> las siguientes características: </w:t>
      </w:r>
      <w:r w:rsidR="00447B6A">
        <w:rPr>
          <w:rFonts w:cs="Arial"/>
          <w:szCs w:val="22"/>
        </w:rPr>
        <w:t>a</w:t>
      </w:r>
      <w:r w:rsidRPr="00BA20B4">
        <w:rPr>
          <w:rFonts w:cs="Arial"/>
          <w:szCs w:val="22"/>
        </w:rPr>
        <w:t xml:space="preserve">) </w:t>
      </w:r>
      <w:r w:rsidR="00DD1650">
        <w:rPr>
          <w:rFonts w:cs="Arial"/>
          <w:szCs w:val="22"/>
        </w:rPr>
        <w:t xml:space="preserve">se basa en </w:t>
      </w:r>
      <w:r w:rsidRPr="00BA20B4">
        <w:rPr>
          <w:rFonts w:cs="Arial"/>
          <w:szCs w:val="22"/>
        </w:rPr>
        <w:t xml:space="preserve">un principio de corresponsabilidad frente a su ejercicio y su función social, entendiéndose que de su prestación son responsables el Estado, la comunidad y la familia; </w:t>
      </w:r>
      <w:r w:rsidR="00447B6A">
        <w:rPr>
          <w:rFonts w:cs="Arial"/>
          <w:szCs w:val="22"/>
        </w:rPr>
        <w:t>b</w:t>
      </w:r>
      <w:r w:rsidRPr="00BA20B4">
        <w:rPr>
          <w:rFonts w:cs="Arial"/>
          <w:szCs w:val="22"/>
        </w:rPr>
        <w:t xml:space="preserve">) se configura como servicio público sometido a la inspección y vigilancia del Estado con el fin de garantizar la calidad, la formación moral, intelectual y física de los educandos, en función de su progreso y desarrollo integral; </w:t>
      </w:r>
      <w:r w:rsidR="00447B6A">
        <w:rPr>
          <w:rFonts w:cs="Arial"/>
          <w:szCs w:val="22"/>
        </w:rPr>
        <w:t>c</w:t>
      </w:r>
      <w:r w:rsidRPr="00BA20B4">
        <w:rPr>
          <w:rFonts w:cs="Arial"/>
          <w:szCs w:val="22"/>
        </w:rPr>
        <w:t xml:space="preserve">) enfatiza en la protección de la identidad cultural de los grupos étnicos como fundamento de la nacionalidad; y </w:t>
      </w:r>
      <w:r w:rsidR="00447B6A">
        <w:rPr>
          <w:rFonts w:cs="Arial"/>
          <w:szCs w:val="22"/>
        </w:rPr>
        <w:t>d</w:t>
      </w:r>
      <w:r w:rsidRPr="00BA20B4">
        <w:rPr>
          <w:rFonts w:cs="Arial"/>
          <w:szCs w:val="22"/>
        </w:rPr>
        <w:t>) supone una proyección múltiple siendo un derecho y un deber a la vez, y generando unas obligaciones recíprocas entre los actores del proceso educativo. </w:t>
      </w:r>
    </w:p>
    <w:p w:rsidR="005A5B0C" w:rsidRPr="00BA20B4" w:rsidRDefault="005A5B0C" w:rsidP="005A5B0C">
      <w:pPr>
        <w:pStyle w:val="NormalWeb"/>
        <w:spacing w:before="0" w:beforeAutospacing="0" w:after="0" w:afterAutospacing="0"/>
        <w:jc w:val="both"/>
        <w:rPr>
          <w:rFonts w:cs="Arial"/>
          <w:sz w:val="22"/>
          <w:szCs w:val="22"/>
        </w:rPr>
      </w:pPr>
    </w:p>
    <w:p w:rsidR="005A5B0C" w:rsidRPr="00BA20B4" w:rsidRDefault="005A5B0C" w:rsidP="005A5B0C">
      <w:pPr>
        <w:pStyle w:val="NormalWeb"/>
        <w:spacing w:before="0" w:beforeAutospacing="0" w:after="0" w:afterAutospacing="0"/>
        <w:jc w:val="both"/>
        <w:rPr>
          <w:rFonts w:cs="Arial"/>
          <w:szCs w:val="22"/>
        </w:rPr>
      </w:pPr>
      <w:r w:rsidRPr="00BA20B4">
        <w:rPr>
          <w:rFonts w:cs="Arial"/>
          <w:szCs w:val="22"/>
        </w:rPr>
        <w:t>El Artículo 67 de la Constitución señala tres aspectos esenciales: la educación es un derecho fundamental y universal entre los 5 y los 15 años de edad</w:t>
      </w:r>
      <w:r w:rsidRPr="00BA20B4">
        <w:rPr>
          <w:rStyle w:val="Refdenotaalpie"/>
          <w:rFonts w:eastAsia="Calibri" w:cs="Arial"/>
          <w:szCs w:val="22"/>
        </w:rPr>
        <w:footnoteReference w:id="31"/>
      </w:r>
      <w:r w:rsidR="009144C0">
        <w:rPr>
          <w:rFonts w:cs="Arial"/>
          <w:szCs w:val="22"/>
        </w:rPr>
        <w:t>;</w:t>
      </w:r>
      <w:r w:rsidRPr="00BA20B4">
        <w:rPr>
          <w:rFonts w:cs="Arial"/>
          <w:szCs w:val="22"/>
        </w:rPr>
        <w:t xml:space="preserve"> comprenderá como mínimo un año de preescolar y nueve de educación básica</w:t>
      </w:r>
      <w:r w:rsidR="009144C0">
        <w:rPr>
          <w:rFonts w:cs="Arial"/>
          <w:szCs w:val="22"/>
        </w:rPr>
        <w:t>;</w:t>
      </w:r>
      <w:r w:rsidRPr="00BA20B4">
        <w:rPr>
          <w:rFonts w:cs="Arial"/>
          <w:szCs w:val="22"/>
        </w:rPr>
        <w:t xml:space="preserve"> y la educación pública será gratuita, sin perjuicio del cobro de derechos académicos a quienes puedan sufragarlos</w:t>
      </w:r>
      <w:r w:rsidRPr="00BA20B4">
        <w:rPr>
          <w:rStyle w:val="Refdenotaalpie"/>
          <w:rFonts w:eastAsia="Calibri" w:cs="Arial"/>
          <w:szCs w:val="22"/>
        </w:rPr>
        <w:footnoteReference w:id="32"/>
      </w:r>
      <w:r w:rsidRPr="00BA20B4">
        <w:rPr>
          <w:rFonts w:cs="Arial"/>
          <w:szCs w:val="22"/>
        </w:rPr>
        <w:t xml:space="preserve">. </w:t>
      </w:r>
    </w:p>
    <w:p w:rsidR="005A5B0C" w:rsidRPr="00BA20B4" w:rsidRDefault="005A5B0C" w:rsidP="005A5B0C">
      <w:pPr>
        <w:pStyle w:val="NormalWeb"/>
        <w:spacing w:before="0" w:beforeAutospacing="0" w:after="0" w:afterAutospacing="0"/>
        <w:jc w:val="both"/>
        <w:rPr>
          <w:rFonts w:cs="Arial"/>
          <w:sz w:val="22"/>
          <w:szCs w:val="22"/>
        </w:rPr>
      </w:pPr>
    </w:p>
    <w:p w:rsidR="00B34FF9" w:rsidRDefault="005A5B0C" w:rsidP="005A5B0C">
      <w:pPr>
        <w:tabs>
          <w:tab w:val="left" w:pos="0"/>
          <w:tab w:val="left" w:pos="540"/>
        </w:tabs>
        <w:jc w:val="both"/>
        <w:rPr>
          <w:rFonts w:ascii="Times New Roman" w:hAnsi="Times New Roman" w:cs="Arial"/>
          <w:color w:val="000000"/>
        </w:rPr>
      </w:pPr>
      <w:r w:rsidRPr="00BA20B4">
        <w:rPr>
          <w:rFonts w:ascii="Times New Roman" w:hAnsi="Times New Roman" w:cs="Arial"/>
        </w:rPr>
        <w:lastRenderedPageBreak/>
        <w:t>La</w:t>
      </w:r>
      <w:r w:rsidR="00CA36BE">
        <w:rPr>
          <w:rFonts w:ascii="Times New Roman" w:hAnsi="Times New Roman" w:cs="Arial"/>
        </w:rPr>
        <w:t xml:space="preserve"> Constitución </w:t>
      </w:r>
      <w:r w:rsidRPr="00BA20B4">
        <w:rPr>
          <w:rFonts w:ascii="Times New Roman" w:hAnsi="Times New Roman" w:cs="Arial"/>
        </w:rPr>
        <w:t>de 1991 en materia de educación fu</w:t>
      </w:r>
      <w:r w:rsidR="00CA36BE">
        <w:rPr>
          <w:rFonts w:ascii="Times New Roman" w:hAnsi="Times New Roman" w:cs="Arial"/>
        </w:rPr>
        <w:t xml:space="preserve">e </w:t>
      </w:r>
      <w:r w:rsidRPr="00BA20B4">
        <w:rPr>
          <w:rFonts w:ascii="Times New Roman" w:hAnsi="Times New Roman" w:cs="Arial"/>
        </w:rPr>
        <w:t>desarrollada por la Ley 115 de 1994</w:t>
      </w:r>
      <w:r w:rsidR="00700767">
        <w:rPr>
          <w:rFonts w:ascii="Times New Roman" w:hAnsi="Times New Roman" w:cs="Arial"/>
        </w:rPr>
        <w:t xml:space="preserve"> o </w:t>
      </w:r>
      <w:r w:rsidRPr="00BA20B4">
        <w:rPr>
          <w:rFonts w:ascii="Times New Roman" w:hAnsi="Times New Roman" w:cs="Arial"/>
        </w:rPr>
        <w:t>Ley General de Educación</w:t>
      </w:r>
      <w:r w:rsidR="00A814FF">
        <w:rPr>
          <w:rFonts w:ascii="Times New Roman" w:hAnsi="Times New Roman" w:cs="Arial"/>
        </w:rPr>
        <w:t xml:space="preserve">, la </w:t>
      </w:r>
      <w:r w:rsidR="006B7D6A">
        <w:rPr>
          <w:rFonts w:ascii="Times New Roman" w:hAnsi="Times New Roman" w:cs="Arial"/>
        </w:rPr>
        <w:t>L</w:t>
      </w:r>
      <w:r w:rsidR="00A814FF">
        <w:rPr>
          <w:rFonts w:ascii="Times New Roman" w:hAnsi="Times New Roman" w:cs="Arial"/>
        </w:rPr>
        <w:t>ey 30 de 1992 sobre educación superior</w:t>
      </w:r>
      <w:r w:rsidR="00F436A0">
        <w:rPr>
          <w:rFonts w:ascii="Times New Roman" w:hAnsi="Times New Roman" w:cs="Arial"/>
        </w:rPr>
        <w:t xml:space="preserve"> y por la </w:t>
      </w:r>
      <w:r w:rsidR="006B7D6A">
        <w:rPr>
          <w:rFonts w:ascii="Times New Roman" w:hAnsi="Times New Roman" w:cs="Arial"/>
        </w:rPr>
        <w:t>L</w:t>
      </w:r>
      <w:r w:rsidR="00F436A0">
        <w:rPr>
          <w:rFonts w:ascii="Times New Roman" w:hAnsi="Times New Roman" w:cs="Arial"/>
        </w:rPr>
        <w:t>ey 715 de 2001</w:t>
      </w:r>
      <w:r w:rsidR="00E5042B">
        <w:rPr>
          <w:rStyle w:val="Refdenotaalpie"/>
          <w:rFonts w:ascii="Times New Roman" w:hAnsi="Times New Roman" w:cs="Arial"/>
        </w:rPr>
        <w:footnoteReference w:id="33"/>
      </w:r>
      <w:r w:rsidR="003D404F">
        <w:rPr>
          <w:rFonts w:ascii="Times New Roman" w:hAnsi="Times New Roman" w:cs="Arial"/>
        </w:rPr>
        <w:t xml:space="preserve"> que establece</w:t>
      </w:r>
      <w:r w:rsidR="00F436A0">
        <w:rPr>
          <w:rFonts w:ascii="Times New Roman" w:hAnsi="Times New Roman" w:cs="Arial"/>
        </w:rPr>
        <w:t xml:space="preserve"> la distribución de competencias y recursos entre la nación y las entidades territoriales</w:t>
      </w:r>
      <w:r w:rsidRPr="00BA20B4">
        <w:rPr>
          <w:rFonts w:ascii="Times New Roman" w:hAnsi="Times New Roman" w:cs="Arial"/>
        </w:rPr>
        <w:t>. Esta</w:t>
      </w:r>
      <w:r w:rsidR="009144C0">
        <w:rPr>
          <w:rFonts w:ascii="Times New Roman" w:hAnsi="Times New Roman" w:cs="Arial"/>
        </w:rPr>
        <w:t>s</w:t>
      </w:r>
      <w:r w:rsidRPr="00BA20B4">
        <w:rPr>
          <w:rFonts w:ascii="Times New Roman" w:hAnsi="Times New Roman" w:cs="Arial"/>
        </w:rPr>
        <w:t xml:space="preserve"> ley</w:t>
      </w:r>
      <w:r w:rsidR="009144C0">
        <w:rPr>
          <w:rFonts w:ascii="Times New Roman" w:hAnsi="Times New Roman" w:cs="Arial"/>
        </w:rPr>
        <w:t>es</w:t>
      </w:r>
      <w:r w:rsidR="00CF673F">
        <w:rPr>
          <w:rFonts w:ascii="Times New Roman" w:hAnsi="Times New Roman" w:cs="Arial"/>
        </w:rPr>
        <w:t xml:space="preserve"> </w:t>
      </w:r>
      <w:r w:rsidR="009144C0">
        <w:rPr>
          <w:rFonts w:ascii="Times New Roman" w:hAnsi="Times New Roman" w:cs="Arial"/>
        </w:rPr>
        <w:t>desarrollan el marco normativo básico de</w:t>
      </w:r>
      <w:r w:rsidRPr="00BA20B4">
        <w:rPr>
          <w:rFonts w:ascii="Times New Roman" w:hAnsi="Times New Roman" w:cs="Arial"/>
          <w:lang w:eastAsia="es-ES"/>
        </w:rPr>
        <w:t>la política educativa en función de</w:t>
      </w:r>
      <w:r w:rsidR="00A84666" w:rsidRPr="00BA20B4">
        <w:rPr>
          <w:rFonts w:ascii="Times New Roman" w:hAnsi="Times New Roman" w:cs="Arial"/>
          <w:lang w:eastAsia="es-ES"/>
        </w:rPr>
        <w:t>l ideal de ciudadano determinado</w:t>
      </w:r>
      <w:r w:rsidRPr="00BA20B4">
        <w:rPr>
          <w:rFonts w:ascii="Times New Roman" w:hAnsi="Times New Roman" w:cs="Arial"/>
          <w:lang w:eastAsia="es-ES"/>
        </w:rPr>
        <w:t xml:space="preserve"> por la Constitución.</w:t>
      </w:r>
    </w:p>
    <w:p w:rsidR="00B34FF9" w:rsidRDefault="00B34FF9" w:rsidP="005A5B0C">
      <w:pPr>
        <w:tabs>
          <w:tab w:val="left" w:pos="0"/>
          <w:tab w:val="left" w:pos="540"/>
        </w:tabs>
        <w:jc w:val="both"/>
        <w:rPr>
          <w:rFonts w:ascii="Times New Roman" w:hAnsi="Times New Roman" w:cs="Arial"/>
          <w:color w:val="000000"/>
        </w:rPr>
      </w:pPr>
    </w:p>
    <w:p w:rsidR="005A5B0C" w:rsidRPr="00BA20B4" w:rsidRDefault="00B34FF9" w:rsidP="005A5B0C">
      <w:pPr>
        <w:tabs>
          <w:tab w:val="left" w:pos="0"/>
          <w:tab w:val="left" w:pos="540"/>
        </w:tabs>
        <w:jc w:val="both"/>
        <w:rPr>
          <w:rFonts w:ascii="Times New Roman" w:hAnsi="Times New Roman" w:cs="Arial"/>
        </w:rPr>
      </w:pPr>
      <w:r>
        <w:rPr>
          <w:rFonts w:ascii="Times New Roman" w:hAnsi="Times New Roman" w:cs="Arial"/>
          <w:color w:val="000000"/>
        </w:rPr>
        <w:t>E</w:t>
      </w:r>
      <w:r w:rsidR="005A5B0C" w:rsidRPr="00BA20B4">
        <w:rPr>
          <w:rFonts w:ascii="Times New Roman" w:hAnsi="Times New Roman" w:cs="Arial"/>
          <w:color w:val="000000"/>
        </w:rPr>
        <w:t>l Artículo 5</w:t>
      </w:r>
      <w:r w:rsidR="009144C0">
        <w:rPr>
          <w:rFonts w:ascii="Times New Roman" w:hAnsi="Times New Roman" w:cs="Arial"/>
          <w:color w:val="000000"/>
        </w:rPr>
        <w:t xml:space="preserve"> de la </w:t>
      </w:r>
      <w:r w:rsidR="001C0139">
        <w:rPr>
          <w:rFonts w:ascii="Times New Roman" w:hAnsi="Times New Roman" w:cs="Arial"/>
          <w:color w:val="000000"/>
        </w:rPr>
        <w:t>L</w:t>
      </w:r>
      <w:r w:rsidR="009144C0">
        <w:rPr>
          <w:rFonts w:ascii="Times New Roman" w:hAnsi="Times New Roman" w:cs="Arial"/>
          <w:color w:val="000000"/>
        </w:rPr>
        <w:t>ey 115</w:t>
      </w:r>
      <w:r w:rsidR="00D349D7">
        <w:rPr>
          <w:rFonts w:ascii="Times New Roman" w:hAnsi="Times New Roman" w:cs="Arial"/>
          <w:color w:val="000000"/>
        </w:rPr>
        <w:t xml:space="preserve"> </w:t>
      </w:r>
      <w:r w:rsidR="005A5B0C" w:rsidRPr="00BA20B4">
        <w:rPr>
          <w:rFonts w:ascii="Times New Roman" w:hAnsi="Times New Roman" w:cs="Arial"/>
        </w:rPr>
        <w:t>establece los siguientes fines de la educación: el pleno desarrollo de la personalidad; la formación en el respeto a la vida, los derechos humanos, la paz, los principios democráticos</w:t>
      </w:r>
      <w:r w:rsidR="00F274AE">
        <w:rPr>
          <w:rFonts w:ascii="Times New Roman" w:hAnsi="Times New Roman" w:cs="Arial"/>
        </w:rPr>
        <w:t xml:space="preserve"> y</w:t>
      </w:r>
      <w:r w:rsidR="005A5B0C" w:rsidRPr="00BA20B4">
        <w:rPr>
          <w:rFonts w:ascii="Times New Roman" w:hAnsi="Times New Roman" w:cs="Arial"/>
        </w:rPr>
        <w:t xml:space="preserve"> la participación; la formación en respeto a la autoridad legítima y a la ley, la cultura nacional, la historia y los símbolos patrios; la adquisición y generación de conocimientos científicos y técnicos (humanísticos, históricos, sociales, geográficos y estéticos); el estudio y comprensión crítica de la cultura nacional y de la diversidad étnica; el fomento de la investigación y de la creación artística; la creación y fomento de una conciencia de la soberanía nacional; el desarrollo de la capacidad crítica, reflexiva y analítica; la adquisición de una conciencia sobre el ambiente, la calidad de la vida, y la prevención de desastres; la formación en la práctica del trabajo; la formación para la promoción y preservación de la salud y la higiene, la educación física, la recreación, el deporte y la utilización adecuada del tiempo libre; y la promoción de la capacidad para crear, investigar y adaptar la tecnología que se requiere en los procesos de desarrollo. </w:t>
      </w:r>
    </w:p>
    <w:p w:rsidR="005A5B0C" w:rsidRPr="00BA20B4" w:rsidRDefault="005A5B0C" w:rsidP="005A5B0C">
      <w:pPr>
        <w:pStyle w:val="Default"/>
        <w:jc w:val="both"/>
        <w:rPr>
          <w:rFonts w:ascii="Times New Roman" w:hAnsi="Times New Roman"/>
          <w:sz w:val="22"/>
          <w:szCs w:val="22"/>
        </w:rPr>
      </w:pPr>
    </w:p>
    <w:p w:rsidR="00855312" w:rsidRDefault="005A5B0C" w:rsidP="00855312">
      <w:pPr>
        <w:pStyle w:val="Default"/>
        <w:jc w:val="both"/>
        <w:rPr>
          <w:rFonts w:ascii="Times New Roman" w:hAnsi="Times New Roman"/>
          <w:szCs w:val="22"/>
          <w:lang w:eastAsia="es-ES"/>
        </w:rPr>
      </w:pPr>
      <w:r w:rsidRPr="00BA20B4">
        <w:rPr>
          <w:rFonts w:ascii="Times New Roman" w:hAnsi="Times New Roman"/>
          <w:szCs w:val="22"/>
        </w:rPr>
        <w:t xml:space="preserve">El Código de Infancia y Adolescencia (Ley 1098 de 2006), como marco normativo en materia de derechos y deberes de las personas menores de 18 años, establece en su artículo 28 el derecho a una educación de calidad para todo niño, niña y </w:t>
      </w:r>
      <w:r w:rsidR="00D349D7">
        <w:rPr>
          <w:rFonts w:ascii="Times New Roman" w:hAnsi="Times New Roman"/>
          <w:szCs w:val="22"/>
        </w:rPr>
        <w:t>joven</w:t>
      </w:r>
      <w:r w:rsidRPr="00BA20B4">
        <w:rPr>
          <w:rFonts w:ascii="Times New Roman" w:hAnsi="Times New Roman"/>
          <w:szCs w:val="22"/>
        </w:rPr>
        <w:t>, y determina su gratuidad y obligatoriedad en los términos previstos por la Constitución</w:t>
      </w:r>
      <w:r w:rsidR="00D133C0">
        <w:rPr>
          <w:rFonts w:ascii="Times New Roman" w:hAnsi="Times New Roman"/>
          <w:szCs w:val="22"/>
        </w:rPr>
        <w:t>,</w:t>
      </w:r>
      <w:r w:rsidR="00CF673F">
        <w:rPr>
          <w:rFonts w:ascii="Times New Roman" w:hAnsi="Times New Roman"/>
          <w:szCs w:val="22"/>
        </w:rPr>
        <w:t xml:space="preserve"> </w:t>
      </w:r>
      <w:r w:rsidR="008C32E3">
        <w:rPr>
          <w:rFonts w:ascii="Times New Roman" w:hAnsi="Times New Roman"/>
          <w:szCs w:val="22"/>
        </w:rPr>
        <w:t xml:space="preserve">mediante </w:t>
      </w:r>
      <w:r w:rsidR="00D133C0">
        <w:rPr>
          <w:rFonts w:ascii="Times New Roman" w:hAnsi="Times New Roman"/>
          <w:szCs w:val="22"/>
        </w:rPr>
        <w:t>la</w:t>
      </w:r>
      <w:r w:rsidRPr="00BA20B4">
        <w:rPr>
          <w:rFonts w:ascii="Times New Roman" w:hAnsi="Times New Roman"/>
          <w:szCs w:val="22"/>
        </w:rPr>
        <w:t xml:space="preserve"> obligación del Estado </w:t>
      </w:r>
      <w:r w:rsidR="00D133C0">
        <w:rPr>
          <w:rFonts w:ascii="Times New Roman" w:hAnsi="Times New Roman"/>
          <w:szCs w:val="22"/>
        </w:rPr>
        <w:t xml:space="preserve">de </w:t>
      </w:r>
      <w:r w:rsidRPr="00BA20B4">
        <w:rPr>
          <w:rFonts w:ascii="Times New Roman" w:hAnsi="Times New Roman"/>
          <w:szCs w:val="22"/>
        </w:rPr>
        <w:t xml:space="preserve">garantizar </w:t>
      </w:r>
      <w:r w:rsidRPr="00BA20B4">
        <w:rPr>
          <w:rFonts w:ascii="Times New Roman" w:hAnsi="Times New Roman"/>
          <w:szCs w:val="22"/>
          <w:lang w:eastAsia="es-ES"/>
        </w:rPr>
        <w:t>el acceso a una</w:t>
      </w:r>
      <w:r w:rsidR="00CF673F">
        <w:rPr>
          <w:rFonts w:ascii="Times New Roman" w:hAnsi="Times New Roman"/>
          <w:szCs w:val="22"/>
          <w:lang w:eastAsia="es-ES"/>
        </w:rPr>
        <w:t xml:space="preserve"> </w:t>
      </w:r>
      <w:r w:rsidRPr="00BA20B4">
        <w:rPr>
          <w:rFonts w:ascii="Times New Roman" w:hAnsi="Times New Roman"/>
          <w:szCs w:val="22"/>
          <w:lang w:eastAsia="es-ES"/>
        </w:rPr>
        <w:t xml:space="preserve">educación idónea y de calidad, asegurando la permanencia en el sistema educativo y el cumplimiento del ciclo completo de formación. </w:t>
      </w:r>
      <w:r w:rsidR="008C32E3">
        <w:rPr>
          <w:rFonts w:ascii="Times New Roman" w:hAnsi="Times New Roman"/>
          <w:szCs w:val="22"/>
          <w:lang w:eastAsia="es-ES"/>
        </w:rPr>
        <w:t>Igualmente, e</w:t>
      </w:r>
      <w:r w:rsidRPr="00BA20B4">
        <w:rPr>
          <w:rFonts w:ascii="Times New Roman" w:hAnsi="Times New Roman"/>
          <w:szCs w:val="22"/>
          <w:lang w:eastAsia="es-ES"/>
        </w:rPr>
        <w:t xml:space="preserve">stablece como prioridad la atención a las poblaciones vulnerables </w:t>
      </w:r>
      <w:r w:rsidR="00855312" w:rsidRPr="00BA20B4">
        <w:rPr>
          <w:rFonts w:ascii="Times New Roman" w:hAnsi="Times New Roman"/>
          <w:szCs w:val="22"/>
          <w:lang w:eastAsia="es-ES"/>
        </w:rPr>
        <w:t>(Articulo 41)</w:t>
      </w:r>
      <w:r w:rsidR="00855312">
        <w:rPr>
          <w:rFonts w:ascii="Times New Roman" w:hAnsi="Times New Roman"/>
          <w:szCs w:val="22"/>
          <w:lang w:eastAsia="es-ES"/>
        </w:rPr>
        <w:t xml:space="preserve">, </w:t>
      </w:r>
      <w:r w:rsidRPr="00BA20B4">
        <w:rPr>
          <w:rFonts w:ascii="Times New Roman" w:hAnsi="Times New Roman"/>
          <w:szCs w:val="22"/>
          <w:lang w:eastAsia="es-ES"/>
        </w:rPr>
        <w:t xml:space="preserve"> la prevención de la deserción escolar (Articulo </w:t>
      </w:r>
      <w:r w:rsidR="00855312">
        <w:rPr>
          <w:rFonts w:ascii="Times New Roman" w:hAnsi="Times New Roman"/>
          <w:szCs w:val="22"/>
          <w:lang w:eastAsia="es-ES"/>
        </w:rPr>
        <w:t>23</w:t>
      </w:r>
      <w:r w:rsidRPr="00BA20B4">
        <w:rPr>
          <w:rFonts w:ascii="Times New Roman" w:hAnsi="Times New Roman"/>
          <w:szCs w:val="22"/>
          <w:lang w:eastAsia="es-ES"/>
        </w:rPr>
        <w:t>)</w:t>
      </w:r>
      <w:r w:rsidR="00855312">
        <w:rPr>
          <w:rFonts w:ascii="Times New Roman" w:hAnsi="Times New Roman"/>
          <w:szCs w:val="22"/>
          <w:lang w:eastAsia="es-ES"/>
        </w:rPr>
        <w:t>, el derecho al desarrollo integral en la primera infancia, (Artículo 29), y la etnoeducación (Articulo 22), entre otros</w:t>
      </w:r>
      <w:r w:rsidRPr="00BA20B4">
        <w:rPr>
          <w:rFonts w:ascii="Times New Roman" w:hAnsi="Times New Roman"/>
          <w:szCs w:val="22"/>
          <w:lang w:eastAsia="es-ES"/>
        </w:rPr>
        <w:t>.</w:t>
      </w:r>
    </w:p>
    <w:p w:rsidR="00DB1BCC" w:rsidRDefault="00DB1BCC" w:rsidP="00855312">
      <w:pPr>
        <w:pStyle w:val="Default"/>
        <w:jc w:val="both"/>
        <w:rPr>
          <w:rFonts w:ascii="Times New Roman" w:hAnsi="Times New Roman"/>
          <w:szCs w:val="22"/>
          <w:lang w:eastAsia="es-ES"/>
        </w:rPr>
      </w:pPr>
    </w:p>
    <w:p w:rsidR="00DC6C4F" w:rsidRDefault="00DB1BCC" w:rsidP="00DC6C4F">
      <w:pPr>
        <w:pStyle w:val="Default"/>
        <w:jc w:val="both"/>
        <w:rPr>
          <w:rFonts w:ascii="Times New Roman" w:hAnsi="Times New Roman"/>
          <w:szCs w:val="22"/>
          <w:lang w:eastAsia="es-ES"/>
        </w:rPr>
      </w:pPr>
      <w:r w:rsidRPr="00DB1BCC">
        <w:rPr>
          <w:rFonts w:ascii="Times New Roman" w:hAnsi="Times New Roman"/>
          <w:szCs w:val="22"/>
          <w:lang w:eastAsia="es-ES"/>
        </w:rPr>
        <w:t>“En esencia, toda la legislación y la política administrativa colombianas consagran el derecho fundamental de las personas a acceder a la educación y asumen la responsabilidad de garantizar la calidad del servicio educativo, lo mismo que su prestación a todos los sectores y grupos humanos”</w:t>
      </w:r>
      <w:r w:rsidRPr="00DC6C4F">
        <w:rPr>
          <w:rStyle w:val="Refdenotaalpie"/>
          <w:rFonts w:ascii="Times New Roman" w:eastAsia="Calibri" w:hAnsi="Times New Roman" w:cstheme="minorBidi"/>
          <w:color w:val="auto"/>
          <w:sz w:val="22"/>
          <w:szCs w:val="22"/>
          <w:lang w:val="es-ES_tradnl" w:eastAsia="es-ES_tradnl"/>
        </w:rPr>
        <w:footnoteReference w:id="34"/>
      </w:r>
      <w:r w:rsidRPr="00DC6C4F">
        <w:rPr>
          <w:rFonts w:ascii="Times New Roman" w:hAnsi="Times New Roman"/>
          <w:szCs w:val="22"/>
          <w:lang w:eastAsia="es-ES"/>
        </w:rPr>
        <w:t>.</w:t>
      </w:r>
      <w:bookmarkStart w:id="7" w:name="_Toc334448997"/>
    </w:p>
    <w:p w:rsidR="00DC6C4F" w:rsidRPr="00DC6C4F" w:rsidRDefault="00DC6C4F" w:rsidP="00DC6C4F">
      <w:pPr>
        <w:pStyle w:val="Default"/>
        <w:jc w:val="both"/>
        <w:rPr>
          <w:rFonts w:ascii="Times New Roman" w:hAnsi="Times New Roman"/>
          <w:szCs w:val="22"/>
          <w:lang w:eastAsia="es-ES"/>
        </w:rPr>
      </w:pPr>
    </w:p>
    <w:p w:rsidR="005A5B0C" w:rsidRPr="00DC6C4F" w:rsidRDefault="005A5B0C" w:rsidP="00DC6C4F">
      <w:pPr>
        <w:pStyle w:val="Ttulo3"/>
        <w:rPr>
          <w:rFonts w:ascii="Times New Roman" w:hAnsi="Times New Roman"/>
        </w:rPr>
      </w:pPr>
      <w:bookmarkStart w:id="8" w:name="_Toc362358034"/>
      <w:r w:rsidRPr="00DC6C4F">
        <w:rPr>
          <w:rFonts w:ascii="Times New Roman" w:hAnsi="Times New Roman"/>
        </w:rPr>
        <w:t>1.</w:t>
      </w:r>
      <w:r w:rsidR="000A2012" w:rsidRPr="00DC6C4F">
        <w:rPr>
          <w:rFonts w:ascii="Times New Roman" w:hAnsi="Times New Roman"/>
        </w:rPr>
        <w:t>3</w:t>
      </w:r>
      <w:r w:rsidRPr="00DC6C4F">
        <w:rPr>
          <w:rFonts w:ascii="Times New Roman" w:hAnsi="Times New Roman"/>
        </w:rPr>
        <w:t>. Las dimensiones de la educación y del servicio educativo</w:t>
      </w:r>
      <w:bookmarkEnd w:id="7"/>
      <w:bookmarkEnd w:id="8"/>
    </w:p>
    <w:p w:rsidR="00D7012C" w:rsidRPr="00BA20B4" w:rsidRDefault="00D7012C" w:rsidP="005A5B0C">
      <w:pPr>
        <w:pStyle w:val="Default"/>
        <w:jc w:val="both"/>
        <w:rPr>
          <w:rFonts w:ascii="Times New Roman" w:hAnsi="Times New Roman"/>
          <w:sz w:val="22"/>
          <w:szCs w:val="22"/>
        </w:rPr>
      </w:pPr>
    </w:p>
    <w:p w:rsidR="00D7012C" w:rsidRPr="007343CF" w:rsidRDefault="00D7012C" w:rsidP="005A5B0C">
      <w:pPr>
        <w:pStyle w:val="Default"/>
        <w:jc w:val="both"/>
        <w:rPr>
          <w:rFonts w:ascii="Times New Roman" w:hAnsi="Times New Roman"/>
          <w:b/>
          <w:szCs w:val="22"/>
        </w:rPr>
      </w:pPr>
      <w:r w:rsidRPr="007343CF">
        <w:rPr>
          <w:rFonts w:ascii="Times New Roman" w:hAnsi="Times New Roman"/>
          <w:b/>
          <w:szCs w:val="22"/>
        </w:rPr>
        <w:t>Objetivos del servicio educativo</w:t>
      </w:r>
    </w:p>
    <w:p w:rsidR="00D7012C" w:rsidRPr="00BA20B4" w:rsidRDefault="00D7012C" w:rsidP="005A5B0C">
      <w:pPr>
        <w:pStyle w:val="Default"/>
        <w:jc w:val="both"/>
        <w:rPr>
          <w:rFonts w:ascii="Times New Roman" w:hAnsi="Times New Roman"/>
          <w:sz w:val="22"/>
          <w:szCs w:val="22"/>
        </w:rPr>
      </w:pPr>
    </w:p>
    <w:p w:rsidR="00D7012C" w:rsidRPr="00BA20B4" w:rsidRDefault="00D7012C" w:rsidP="00D7012C">
      <w:pPr>
        <w:jc w:val="both"/>
        <w:rPr>
          <w:rFonts w:ascii="Times New Roman" w:eastAsia="Times New Roman" w:hAnsi="Times New Roman" w:cs="Arial"/>
          <w:color w:val="000000"/>
          <w:lang w:eastAsia="es-CO"/>
        </w:rPr>
      </w:pPr>
      <w:r w:rsidRPr="00BA20B4">
        <w:rPr>
          <w:rFonts w:ascii="Times New Roman" w:hAnsi="Times New Roman"/>
          <w:szCs w:val="22"/>
        </w:rPr>
        <w:t xml:space="preserve">La </w:t>
      </w:r>
      <w:r w:rsidR="00EF3A2D">
        <w:rPr>
          <w:rFonts w:ascii="Times New Roman" w:hAnsi="Times New Roman"/>
          <w:szCs w:val="22"/>
        </w:rPr>
        <w:t>L</w:t>
      </w:r>
      <w:r w:rsidRPr="00BA20B4">
        <w:rPr>
          <w:rFonts w:ascii="Times New Roman" w:hAnsi="Times New Roman"/>
          <w:szCs w:val="22"/>
        </w:rPr>
        <w:t xml:space="preserve">ey 115 de 1994 establece en su </w:t>
      </w:r>
      <w:r w:rsidR="00EF3A2D">
        <w:rPr>
          <w:rFonts w:ascii="Times New Roman" w:hAnsi="Times New Roman"/>
          <w:szCs w:val="22"/>
        </w:rPr>
        <w:t>A</w:t>
      </w:r>
      <w:r w:rsidRPr="00BA20B4">
        <w:rPr>
          <w:rFonts w:ascii="Times New Roman" w:hAnsi="Times New Roman"/>
          <w:szCs w:val="22"/>
        </w:rPr>
        <w:t xml:space="preserve">rtículo 4 que es responsabilidad del Estado garantizar la cobertura y la calidad del servicio y menciona los medios para hacerlo: </w:t>
      </w:r>
      <w:r w:rsidR="00F906DC" w:rsidRPr="00BA20B4">
        <w:rPr>
          <w:rFonts w:ascii="Times New Roman" w:eastAsia="Times New Roman" w:hAnsi="Times New Roman" w:cs="Arial"/>
          <w:color w:val="000000"/>
          <w:lang w:eastAsia="es-CO"/>
        </w:rPr>
        <w:t>c</w:t>
      </w:r>
      <w:r w:rsidRPr="00BA20B4">
        <w:rPr>
          <w:rFonts w:ascii="Times New Roman" w:eastAsia="Times New Roman" w:hAnsi="Times New Roman" w:cs="Arial"/>
          <w:color w:val="000000"/>
          <w:lang w:eastAsia="es-CO"/>
        </w:rPr>
        <w:t xml:space="preserve">orresponde al Estado, a la sociedad y a la familia velar por la calidad de la educación y promover el </w:t>
      </w:r>
      <w:r w:rsidRPr="00BA20B4">
        <w:rPr>
          <w:rFonts w:ascii="Times New Roman" w:eastAsia="Times New Roman" w:hAnsi="Times New Roman" w:cs="Arial"/>
          <w:color w:val="000000"/>
          <w:lang w:eastAsia="es-CO"/>
        </w:rPr>
        <w:lastRenderedPageBreak/>
        <w:t xml:space="preserve">acceso al servicio público educativo, y es responsabilidad de la Nación y de las entidades territoriales, garantizar su cubrimiento. El Estado deberá atender en forma permanente los factores que favorecen la calidad y el mejoramiento de la educación; especialmente velará por la cualificación y formación de los educadores, la promoción docente, los recursos y métodos </w:t>
      </w:r>
      <w:r w:rsidR="0045429A">
        <w:rPr>
          <w:rFonts w:ascii="Times New Roman" w:eastAsia="Times New Roman" w:hAnsi="Times New Roman" w:cs="Arial"/>
          <w:color w:val="000000"/>
          <w:lang w:eastAsia="es-CO"/>
        </w:rPr>
        <w:t>pedagógicos</w:t>
      </w:r>
      <w:r w:rsidRPr="00BA20B4">
        <w:rPr>
          <w:rFonts w:ascii="Times New Roman" w:eastAsia="Times New Roman" w:hAnsi="Times New Roman" w:cs="Arial"/>
          <w:color w:val="000000"/>
          <w:lang w:eastAsia="es-CO"/>
        </w:rPr>
        <w:t xml:space="preserve">, la innovación e investigación, la orientación educativa y profesional, la inspección y evaluación del proceso. </w:t>
      </w:r>
    </w:p>
    <w:p w:rsidR="00D7012C" w:rsidRPr="00BA20B4" w:rsidRDefault="00D7012C" w:rsidP="00D7012C">
      <w:pPr>
        <w:pStyle w:val="Default"/>
        <w:jc w:val="both"/>
        <w:rPr>
          <w:rFonts w:ascii="Times New Roman" w:hAnsi="Times New Roman"/>
          <w:sz w:val="22"/>
          <w:szCs w:val="22"/>
        </w:rPr>
      </w:pPr>
    </w:p>
    <w:p w:rsidR="003E6347" w:rsidRPr="00BA20B4" w:rsidRDefault="00D7012C" w:rsidP="003E6347">
      <w:pPr>
        <w:jc w:val="both"/>
        <w:rPr>
          <w:rFonts w:ascii="Times New Roman" w:eastAsia="Times New Roman" w:hAnsi="Times New Roman" w:cs="Arial"/>
          <w:color w:val="000000"/>
          <w:lang w:eastAsia="es-CO"/>
        </w:rPr>
      </w:pPr>
      <w:r w:rsidRPr="00BA20B4">
        <w:rPr>
          <w:rFonts w:ascii="Times New Roman" w:hAnsi="Times New Roman"/>
          <w:szCs w:val="22"/>
        </w:rPr>
        <w:t xml:space="preserve">La </w:t>
      </w:r>
      <w:r w:rsidR="00EF3A2D">
        <w:rPr>
          <w:rFonts w:ascii="Times New Roman" w:hAnsi="Times New Roman"/>
          <w:szCs w:val="22"/>
        </w:rPr>
        <w:t>L</w:t>
      </w:r>
      <w:r w:rsidRPr="00BA20B4">
        <w:rPr>
          <w:rFonts w:ascii="Times New Roman" w:hAnsi="Times New Roman"/>
          <w:szCs w:val="22"/>
        </w:rPr>
        <w:t xml:space="preserve">ey 715 de 2001 </w:t>
      </w:r>
      <w:r w:rsidR="00EF3A2D">
        <w:rPr>
          <w:rFonts w:ascii="Times New Roman" w:hAnsi="Times New Roman"/>
          <w:szCs w:val="22"/>
        </w:rPr>
        <w:t xml:space="preserve">otorga </w:t>
      </w:r>
      <w:r w:rsidRPr="00BA20B4">
        <w:rPr>
          <w:rFonts w:ascii="Times New Roman" w:hAnsi="Times New Roman"/>
          <w:szCs w:val="22"/>
        </w:rPr>
        <w:t xml:space="preserve">a la Nación </w:t>
      </w:r>
      <w:r w:rsidR="00EF3A2D">
        <w:rPr>
          <w:rFonts w:ascii="Times New Roman" w:hAnsi="Times New Roman"/>
          <w:szCs w:val="22"/>
        </w:rPr>
        <w:t xml:space="preserve">la labor de </w:t>
      </w:r>
      <w:r w:rsidR="003E6347" w:rsidRPr="00BA20B4">
        <w:rPr>
          <w:rFonts w:ascii="Times New Roman" w:eastAsia="Times New Roman" w:hAnsi="Times New Roman"/>
          <w:lang w:eastAsia="es-CO"/>
        </w:rPr>
        <w:t>d</w:t>
      </w:r>
      <w:r w:rsidRPr="00BA20B4">
        <w:rPr>
          <w:rFonts w:ascii="Times New Roman" w:eastAsia="Times New Roman" w:hAnsi="Times New Roman"/>
          <w:lang w:eastAsia="es-CO"/>
        </w:rPr>
        <w:t xml:space="preserve">efinir, diseñar y establecer instrumentos y mecanismos </w:t>
      </w:r>
      <w:r w:rsidR="003E6347" w:rsidRPr="00BA20B4">
        <w:rPr>
          <w:rFonts w:ascii="Times New Roman" w:eastAsia="Times New Roman" w:hAnsi="Times New Roman"/>
          <w:lang w:eastAsia="es-CO"/>
        </w:rPr>
        <w:t>para la calidad de la educación</w:t>
      </w:r>
      <w:r w:rsidR="00EF3A2D">
        <w:rPr>
          <w:rFonts w:ascii="Times New Roman" w:eastAsia="Times New Roman" w:hAnsi="Times New Roman"/>
          <w:lang w:eastAsia="es-CO"/>
        </w:rPr>
        <w:t>, e implementar</w:t>
      </w:r>
      <w:r w:rsidR="00CF673F">
        <w:rPr>
          <w:rFonts w:ascii="Times New Roman" w:eastAsia="Times New Roman" w:hAnsi="Times New Roman"/>
          <w:lang w:eastAsia="es-CO"/>
        </w:rPr>
        <w:t xml:space="preserve"> </w:t>
      </w:r>
      <w:r w:rsidR="003E6347" w:rsidRPr="00BA20B4">
        <w:rPr>
          <w:rFonts w:ascii="Times New Roman" w:eastAsia="Times New Roman" w:hAnsi="Times New Roman" w:cs="Arial"/>
          <w:color w:val="000000"/>
          <w:lang w:eastAsia="es-CO"/>
        </w:rPr>
        <w:t xml:space="preserve">incentivos para los distritos, municipios e instituciones educativas por el logro de metas en cobertura, calidad y eficiencia en el uso de los recursos. </w:t>
      </w:r>
      <w:r w:rsidR="00C56A58">
        <w:rPr>
          <w:rFonts w:ascii="Times New Roman" w:eastAsia="Times New Roman" w:hAnsi="Times New Roman" w:cs="Arial"/>
          <w:color w:val="000000"/>
          <w:lang w:eastAsia="es-CO"/>
        </w:rPr>
        <w:t xml:space="preserve">A las entidades territoriales les asigna </w:t>
      </w:r>
      <w:r w:rsidR="003A0C71" w:rsidRPr="00BA20B4">
        <w:rPr>
          <w:rFonts w:ascii="Times New Roman" w:eastAsia="Times New Roman" w:hAnsi="Times New Roman" w:cs="Arial"/>
          <w:color w:val="000000"/>
          <w:lang w:eastAsia="es-CO"/>
        </w:rPr>
        <w:t>la responsabilidad de m</w:t>
      </w:r>
      <w:r w:rsidR="003E6347" w:rsidRPr="00BA20B4">
        <w:rPr>
          <w:rFonts w:ascii="Times New Roman" w:eastAsia="Times New Roman" w:hAnsi="Times New Roman" w:cs="Arial"/>
          <w:color w:val="000000"/>
          <w:lang w:eastAsia="es-CO"/>
        </w:rPr>
        <w:t>antener la actual cobertura</w:t>
      </w:r>
      <w:r w:rsidR="00C177BC" w:rsidRPr="00BA20B4">
        <w:rPr>
          <w:rFonts w:ascii="Times New Roman" w:eastAsia="Times New Roman" w:hAnsi="Times New Roman" w:cs="Arial"/>
          <w:color w:val="000000"/>
          <w:lang w:eastAsia="es-CO"/>
        </w:rPr>
        <w:t xml:space="preserve">, </w:t>
      </w:r>
      <w:r w:rsidR="003E6347" w:rsidRPr="00BA20B4">
        <w:rPr>
          <w:rFonts w:ascii="Times New Roman" w:eastAsia="Times New Roman" w:hAnsi="Times New Roman" w:cs="Arial"/>
          <w:color w:val="000000"/>
          <w:lang w:eastAsia="es-CO"/>
        </w:rPr>
        <w:t>propender a su ampliación</w:t>
      </w:r>
      <w:r w:rsidR="00C56A58">
        <w:rPr>
          <w:rFonts w:ascii="Times New Roman" w:eastAsia="Times New Roman" w:hAnsi="Times New Roman" w:cs="Arial"/>
          <w:color w:val="000000"/>
          <w:lang w:eastAsia="es-CO"/>
        </w:rPr>
        <w:t>,</w:t>
      </w:r>
      <w:r w:rsidR="003E6347" w:rsidRPr="00BA20B4">
        <w:rPr>
          <w:rFonts w:ascii="Times New Roman" w:eastAsia="Times New Roman" w:hAnsi="Times New Roman" w:cs="Arial"/>
          <w:color w:val="000000"/>
          <w:lang w:eastAsia="es-CO"/>
        </w:rPr>
        <w:t xml:space="preserve"> y </w:t>
      </w:r>
      <w:r w:rsidR="00F906DC" w:rsidRPr="00BA20B4">
        <w:rPr>
          <w:rFonts w:ascii="Times New Roman" w:eastAsia="Times New Roman" w:hAnsi="Times New Roman" w:cs="Arial"/>
          <w:color w:val="000000"/>
          <w:lang w:eastAsia="es-CO"/>
        </w:rPr>
        <w:t>p</w:t>
      </w:r>
      <w:r w:rsidR="003E6347" w:rsidRPr="00BA20B4">
        <w:rPr>
          <w:rFonts w:ascii="Times New Roman" w:eastAsia="Times New Roman" w:hAnsi="Times New Roman" w:cs="Arial"/>
          <w:color w:val="000000"/>
          <w:lang w:eastAsia="es-CO"/>
        </w:rPr>
        <w:t>romover la aplicación y ejecución de los planes de mejoramiento de la calidad en sus instituciones.</w:t>
      </w:r>
    </w:p>
    <w:p w:rsidR="003E6347" w:rsidRPr="00BA20B4" w:rsidRDefault="003E6347" w:rsidP="003E6347">
      <w:pPr>
        <w:rPr>
          <w:rFonts w:ascii="Times New Roman" w:eastAsia="Times New Roman" w:hAnsi="Times New Roman" w:cs="Arial"/>
          <w:color w:val="000000"/>
          <w:lang w:eastAsia="es-CO"/>
        </w:rPr>
      </w:pPr>
    </w:p>
    <w:p w:rsidR="00BF5A10" w:rsidRPr="00BA20B4" w:rsidRDefault="00BF5A10" w:rsidP="00BF5A10">
      <w:pPr>
        <w:jc w:val="both"/>
        <w:rPr>
          <w:rFonts w:ascii="Times New Roman" w:eastAsia="Times New Roman" w:hAnsi="Times New Roman" w:cs="Arial"/>
          <w:color w:val="000000"/>
          <w:lang w:eastAsia="es-CO"/>
        </w:rPr>
      </w:pPr>
      <w:r w:rsidRPr="00BA20B4">
        <w:rPr>
          <w:rFonts w:ascii="Times New Roman" w:hAnsi="Times New Roman"/>
          <w:szCs w:val="22"/>
        </w:rPr>
        <w:t xml:space="preserve">El servicio educativo se define legalmente como </w:t>
      </w:r>
      <w:r w:rsidRPr="00BA20B4">
        <w:rPr>
          <w:rFonts w:ascii="Times New Roman" w:eastAsia="Times New Roman" w:hAnsi="Times New Roman" w:cs="Arial"/>
          <w:color w:val="000000"/>
          <w:lang w:eastAsia="es-CO"/>
        </w:rPr>
        <w:t xml:space="preserve">el conjunto de normas jurídicas, los programas curriculares, la educación por niveles y grados, la </w:t>
      </w:r>
      <w:r w:rsidR="000C707B" w:rsidRPr="00BA20B4">
        <w:rPr>
          <w:rFonts w:ascii="Times New Roman" w:eastAsia="Times New Roman" w:hAnsi="Times New Roman" w:cs="Arial"/>
          <w:color w:val="000000"/>
          <w:lang w:eastAsia="es-CO"/>
        </w:rPr>
        <w:t xml:space="preserve">educación </w:t>
      </w:r>
      <w:r w:rsidR="007343CF">
        <w:rPr>
          <w:rFonts w:ascii="Times New Roman" w:eastAsia="Times New Roman" w:hAnsi="Times New Roman" w:cs="Arial"/>
          <w:color w:val="000000"/>
          <w:lang w:eastAsia="es-CO"/>
        </w:rPr>
        <w:t>para el trabajo y el desarrollo humano</w:t>
      </w:r>
      <w:r w:rsidRPr="00BA20B4">
        <w:rPr>
          <w:rStyle w:val="Refdenotaalpie"/>
          <w:rFonts w:ascii="Times New Roman" w:eastAsia="Calibri" w:hAnsi="Times New Roman"/>
          <w:sz w:val="22"/>
          <w:szCs w:val="22"/>
        </w:rPr>
        <w:footnoteReference w:id="35"/>
      </w:r>
      <w:r w:rsidRPr="00BA20B4">
        <w:rPr>
          <w:rFonts w:ascii="Times New Roman" w:eastAsia="Times New Roman" w:hAnsi="Times New Roman" w:cs="Arial"/>
          <w:color w:val="000000"/>
          <w:lang w:eastAsia="es-CO"/>
        </w:rPr>
        <w:t xml:space="preserve">, la educación informal, los establecimientos educativos, las instituciones sociales (estatales o privadas) con funciones educativas, culturales y recreativas, los recursos humanos, tecnológicos, metodológicos, materiales, administrativos y financieros, articulados en procesos y estructuras para alcanzar los objetivos de la educación. </w:t>
      </w:r>
    </w:p>
    <w:p w:rsidR="005A5B0C" w:rsidRPr="00BA20B4" w:rsidRDefault="005A5B0C" w:rsidP="005A5B0C">
      <w:pPr>
        <w:pStyle w:val="Default"/>
        <w:jc w:val="both"/>
        <w:rPr>
          <w:rFonts w:ascii="Times New Roman" w:hAnsi="Times New Roman"/>
          <w:sz w:val="22"/>
          <w:szCs w:val="22"/>
        </w:rPr>
      </w:pPr>
    </w:p>
    <w:p w:rsidR="005A5B0C" w:rsidRPr="00BA20B4" w:rsidRDefault="005A5B0C" w:rsidP="005A5B0C">
      <w:pPr>
        <w:pStyle w:val="Default"/>
        <w:jc w:val="both"/>
        <w:rPr>
          <w:rFonts w:ascii="Times New Roman" w:hAnsi="Times New Roman"/>
          <w:b/>
          <w:sz w:val="22"/>
          <w:szCs w:val="22"/>
        </w:rPr>
      </w:pPr>
      <w:r w:rsidRPr="00BA20B4">
        <w:rPr>
          <w:rFonts w:ascii="Times New Roman" w:hAnsi="Times New Roman"/>
          <w:b/>
          <w:sz w:val="22"/>
          <w:szCs w:val="22"/>
        </w:rPr>
        <w:t>Estructura</w:t>
      </w:r>
    </w:p>
    <w:p w:rsidR="005A5B0C" w:rsidRPr="00BA20B4" w:rsidRDefault="005A5B0C" w:rsidP="005A5B0C">
      <w:pPr>
        <w:pStyle w:val="Default"/>
        <w:jc w:val="both"/>
        <w:rPr>
          <w:rFonts w:ascii="Times New Roman" w:hAnsi="Times New Roman"/>
          <w:sz w:val="22"/>
          <w:szCs w:val="22"/>
        </w:rPr>
      </w:pPr>
    </w:p>
    <w:p w:rsidR="005A5B0C" w:rsidRPr="00BA20B4" w:rsidRDefault="005A5B0C" w:rsidP="005A5B0C">
      <w:pPr>
        <w:pStyle w:val="Default"/>
        <w:jc w:val="both"/>
        <w:rPr>
          <w:rFonts w:ascii="Times New Roman" w:hAnsi="Times New Roman"/>
          <w:szCs w:val="22"/>
        </w:rPr>
      </w:pPr>
      <w:r w:rsidRPr="00BA20B4">
        <w:rPr>
          <w:rFonts w:ascii="Times New Roman" w:hAnsi="Times New Roman"/>
          <w:szCs w:val="22"/>
        </w:rPr>
        <w:t xml:space="preserve">La Ley General de Educación define la estructura del servicio educativo estableciendo la educación formal, </w:t>
      </w:r>
      <w:r w:rsidR="00F53740">
        <w:rPr>
          <w:rFonts w:ascii="Times New Roman" w:hAnsi="Times New Roman"/>
          <w:szCs w:val="22"/>
        </w:rPr>
        <w:t>la educación para el trabajo y el desarrollo humano y la educación</w:t>
      </w:r>
      <w:r w:rsidRPr="00BA20B4">
        <w:rPr>
          <w:rFonts w:ascii="Times New Roman" w:hAnsi="Times New Roman"/>
          <w:szCs w:val="22"/>
        </w:rPr>
        <w:t xml:space="preserve"> informal. </w:t>
      </w:r>
    </w:p>
    <w:p w:rsidR="005A5B0C" w:rsidRPr="00BA20B4" w:rsidRDefault="005A5B0C" w:rsidP="005A5B0C">
      <w:pPr>
        <w:pStyle w:val="Default"/>
        <w:jc w:val="both"/>
        <w:rPr>
          <w:rFonts w:ascii="Times New Roman" w:hAnsi="Times New Roman"/>
          <w:szCs w:val="22"/>
        </w:rPr>
      </w:pPr>
    </w:p>
    <w:p w:rsidR="005A5B0C" w:rsidRPr="00BA20B4" w:rsidRDefault="005A5B0C" w:rsidP="005A5B0C">
      <w:pPr>
        <w:pStyle w:val="Default"/>
        <w:jc w:val="both"/>
        <w:rPr>
          <w:rFonts w:ascii="Times New Roman" w:hAnsi="Times New Roman"/>
          <w:szCs w:val="22"/>
        </w:rPr>
      </w:pPr>
      <w:r w:rsidRPr="00BA20B4">
        <w:rPr>
          <w:rFonts w:ascii="Times New Roman" w:hAnsi="Times New Roman"/>
          <w:szCs w:val="22"/>
        </w:rPr>
        <w:t>La educación formal es “</w:t>
      </w:r>
      <w:r w:rsidRPr="00BA20B4">
        <w:rPr>
          <w:rFonts w:ascii="Times New Roman" w:hAnsi="Times New Roman"/>
          <w:szCs w:val="22"/>
          <w:shd w:val="clear" w:color="auto" w:fill="FFFFFF"/>
        </w:rPr>
        <w:t>aquella que se imparte en establecimientos educativos aprobados, en una secuencia regular de ciclos lectivos, con sujeción a pautas curriculares progresivas, y conducente a grados y títulos”</w:t>
      </w:r>
      <w:r w:rsidRPr="00BA20B4">
        <w:rPr>
          <w:rStyle w:val="Refdenotaalpie"/>
          <w:rFonts w:ascii="Times New Roman" w:eastAsia="Calibri" w:hAnsi="Times New Roman"/>
          <w:szCs w:val="22"/>
        </w:rPr>
        <w:footnoteReference w:id="36"/>
      </w:r>
      <w:r w:rsidRPr="00BA20B4">
        <w:rPr>
          <w:rFonts w:ascii="Times New Roman" w:hAnsi="Times New Roman"/>
          <w:b/>
          <w:bCs/>
          <w:szCs w:val="22"/>
          <w:shd w:val="clear" w:color="auto" w:fill="FFFFFF"/>
        </w:rPr>
        <w:t>.</w:t>
      </w:r>
      <w:r w:rsidRPr="00BA20B4">
        <w:rPr>
          <w:rFonts w:ascii="Times New Roman" w:hAnsi="Times New Roman"/>
          <w:szCs w:val="22"/>
        </w:rPr>
        <w:t xml:space="preserve"> El objetivo primordial de la educación formal es el desarrollo integral mediante acciones encaminadas a “formar la personalidad y la capacidad de asumir con responsabilidad y autonomía los derechos y deberes; proporcionar una sólida formación ética y moral, y fomentar la práctica del respeto a los derechos humanos; fomentar prácticas democráticas para el aprendizaje de los principios y valores de la participación y organización ciudadana y estimular la autonomía y la responsabilidad; desarrollar una sana sexualidad que promueva el conocimiento de sí mismo y la autoestima, la construcción de la identidad sexual dentro del respeto por la equidad de los sexos, la afectividad, el respeto mutuo y prepararse para una vida familiar armónica y responsable; crear y fomentar una conciencia de solidaridad internacional; desarrollar acciones de orientación escolar, profesional y ocupacional; formar una conciencia educativa para el </w:t>
      </w:r>
      <w:r w:rsidRPr="00BA20B4">
        <w:rPr>
          <w:rFonts w:ascii="Times New Roman" w:hAnsi="Times New Roman"/>
          <w:szCs w:val="22"/>
        </w:rPr>
        <w:lastRenderedPageBreak/>
        <w:t>esfuerzo y el trabajo, y fomentar el interés y el respecto por la identidad cultural de los grupos étnicos”</w:t>
      </w:r>
      <w:r w:rsidRPr="00BA20B4">
        <w:rPr>
          <w:rStyle w:val="Refdenotaalpie"/>
          <w:rFonts w:ascii="Times New Roman" w:eastAsia="Calibri" w:hAnsi="Times New Roman"/>
          <w:szCs w:val="22"/>
        </w:rPr>
        <w:footnoteReference w:id="37"/>
      </w:r>
      <w:r w:rsidRPr="00BA20B4">
        <w:rPr>
          <w:rFonts w:ascii="Times New Roman" w:hAnsi="Times New Roman"/>
          <w:szCs w:val="22"/>
        </w:rPr>
        <w:t>. </w:t>
      </w:r>
    </w:p>
    <w:p w:rsidR="005A5B0C" w:rsidRPr="00BA20B4" w:rsidRDefault="005A5B0C" w:rsidP="005A5B0C">
      <w:pPr>
        <w:pStyle w:val="Default"/>
        <w:jc w:val="both"/>
        <w:rPr>
          <w:rFonts w:ascii="Times New Roman" w:hAnsi="Times New Roman"/>
          <w:sz w:val="22"/>
          <w:szCs w:val="22"/>
        </w:rPr>
      </w:pPr>
    </w:p>
    <w:p w:rsidR="005A5B0C" w:rsidRPr="00BA20B4" w:rsidRDefault="005A5B0C" w:rsidP="005A5B0C">
      <w:pPr>
        <w:pStyle w:val="Default"/>
        <w:jc w:val="both"/>
        <w:rPr>
          <w:rFonts w:ascii="Times New Roman" w:hAnsi="Times New Roman"/>
          <w:szCs w:val="22"/>
        </w:rPr>
      </w:pPr>
      <w:r w:rsidRPr="00BA20B4">
        <w:rPr>
          <w:rFonts w:ascii="Times New Roman" w:hAnsi="Times New Roman"/>
          <w:szCs w:val="22"/>
        </w:rPr>
        <w:t xml:space="preserve">La educación </w:t>
      </w:r>
      <w:r w:rsidR="00297029">
        <w:rPr>
          <w:rFonts w:ascii="Times New Roman" w:hAnsi="Times New Roman"/>
          <w:szCs w:val="22"/>
        </w:rPr>
        <w:t xml:space="preserve">para el trabajo y el desarrollo humano </w:t>
      </w:r>
      <w:r w:rsidRPr="00BA20B4">
        <w:rPr>
          <w:rFonts w:ascii="Times New Roman" w:hAnsi="Times New Roman"/>
          <w:szCs w:val="22"/>
        </w:rPr>
        <w:t>es la que se ofrece con el objeto de complementar, actualizar, suplir conocimientos y formar en aspectos académicos o laborales sin sujeción al sistema de niveles y grados. Es ofrecida en el país por centros de educación como el Sena, e instituciones dedicadas a la capacitación en artes y oficios específicos, o a la validación de la educación primaria y secundaria.</w:t>
      </w:r>
      <w:r w:rsidR="00CF673F">
        <w:rPr>
          <w:rFonts w:ascii="Times New Roman" w:hAnsi="Times New Roman"/>
          <w:szCs w:val="22"/>
        </w:rPr>
        <w:t xml:space="preserve"> </w:t>
      </w:r>
      <w:r w:rsidRPr="00BA20B4">
        <w:rPr>
          <w:rFonts w:ascii="Times New Roman" w:hAnsi="Times New Roman"/>
          <w:szCs w:val="22"/>
        </w:rPr>
        <w:t>Por último, la educación informal es el conocimiento libre y espontáneamente adquirido, proveniente de personas, entidades, medios masivos de comunicación, medios impresos, tradiciones, costumbres, comportamientos sociales y otros no estructurados.</w:t>
      </w:r>
    </w:p>
    <w:p w:rsidR="005A5B0C" w:rsidRPr="00BA20B4" w:rsidRDefault="005A5B0C" w:rsidP="005A5B0C">
      <w:pPr>
        <w:pStyle w:val="Default"/>
        <w:jc w:val="both"/>
        <w:rPr>
          <w:rFonts w:ascii="Times New Roman" w:hAnsi="Times New Roman"/>
          <w:sz w:val="22"/>
          <w:szCs w:val="22"/>
        </w:rPr>
      </w:pPr>
    </w:p>
    <w:p w:rsidR="005A5B0C" w:rsidRPr="00BA20B4" w:rsidRDefault="005A5B0C" w:rsidP="005A5B0C">
      <w:pPr>
        <w:autoSpaceDE w:val="0"/>
        <w:autoSpaceDN w:val="0"/>
        <w:adjustRightInd w:val="0"/>
        <w:rPr>
          <w:rFonts w:ascii="Times New Roman" w:hAnsi="Times New Roman" w:cs="Arial"/>
          <w:b/>
          <w:bCs/>
          <w:lang w:val="es-ES"/>
        </w:rPr>
      </w:pPr>
      <w:r w:rsidRPr="00BA20B4">
        <w:rPr>
          <w:rFonts w:ascii="Times New Roman" w:hAnsi="Times New Roman" w:cs="Arial"/>
          <w:b/>
          <w:bCs/>
          <w:lang w:val="es-ES"/>
        </w:rPr>
        <w:t>Niveles de enseñanza</w:t>
      </w:r>
      <w:r w:rsidR="008C3C12">
        <w:rPr>
          <w:rFonts w:ascii="Times New Roman" w:hAnsi="Times New Roman" w:cs="Arial"/>
          <w:b/>
          <w:bCs/>
          <w:lang w:val="es-ES"/>
        </w:rPr>
        <w:t xml:space="preserve"> de la educación formal</w:t>
      </w:r>
    </w:p>
    <w:p w:rsidR="005A5B0C" w:rsidRPr="00BA20B4" w:rsidRDefault="005A5B0C" w:rsidP="005A5B0C">
      <w:pPr>
        <w:autoSpaceDE w:val="0"/>
        <w:autoSpaceDN w:val="0"/>
        <w:adjustRightInd w:val="0"/>
        <w:jc w:val="both"/>
        <w:rPr>
          <w:rFonts w:ascii="Times New Roman" w:hAnsi="Times New Roman" w:cs="Arial"/>
          <w:lang w:val="es-ES"/>
        </w:rPr>
      </w:pPr>
    </w:p>
    <w:p w:rsidR="005A5B0C" w:rsidRPr="00BA20B4" w:rsidRDefault="005A5B0C" w:rsidP="005A5B0C">
      <w:pPr>
        <w:autoSpaceDE w:val="0"/>
        <w:autoSpaceDN w:val="0"/>
        <w:adjustRightInd w:val="0"/>
        <w:jc w:val="both"/>
        <w:rPr>
          <w:rFonts w:ascii="Times New Roman" w:hAnsi="Times New Roman" w:cs="Arial"/>
          <w:lang w:val="es-ES"/>
        </w:rPr>
      </w:pPr>
      <w:r w:rsidRPr="00BA20B4">
        <w:rPr>
          <w:rFonts w:ascii="Times New Roman" w:hAnsi="Times New Roman" w:cs="Arial"/>
          <w:lang w:val="es-ES"/>
        </w:rPr>
        <w:t>La educación formal s</w:t>
      </w:r>
      <w:r w:rsidRPr="00BA20B4">
        <w:rPr>
          <w:rFonts w:ascii="Times New Roman" w:hAnsi="Times New Roman" w:cs="Arial"/>
        </w:rPr>
        <w:t xml:space="preserve">e ha organizado en cuatro niveles o etapas del proceso de formación: </w:t>
      </w:r>
      <w:r w:rsidRPr="00BA20B4">
        <w:rPr>
          <w:rFonts w:ascii="Times New Roman" w:hAnsi="Times New Roman" w:cs="Arial"/>
          <w:lang w:val="es-ES"/>
        </w:rPr>
        <w:t xml:space="preserve">preescolar, básica, media y superior. Cada uno de ellos tiene objetivos definidos por la </w:t>
      </w:r>
      <w:r w:rsidR="00A436EE">
        <w:rPr>
          <w:rFonts w:ascii="Times New Roman" w:hAnsi="Times New Roman" w:cs="Arial"/>
          <w:lang w:val="es-ES"/>
        </w:rPr>
        <w:t>l</w:t>
      </w:r>
      <w:r w:rsidRPr="00BA20B4">
        <w:rPr>
          <w:rFonts w:ascii="Times New Roman" w:hAnsi="Times New Roman" w:cs="Arial"/>
          <w:lang w:val="es-ES"/>
        </w:rPr>
        <w:t>ey y se asumen socialmente como indicadores del grado de escolaridad alcanzado por un ciudadano.</w:t>
      </w:r>
    </w:p>
    <w:p w:rsidR="005A5B0C" w:rsidRPr="00BA20B4" w:rsidRDefault="005A5B0C" w:rsidP="005A5B0C">
      <w:pPr>
        <w:autoSpaceDE w:val="0"/>
        <w:autoSpaceDN w:val="0"/>
        <w:adjustRightInd w:val="0"/>
        <w:jc w:val="both"/>
        <w:rPr>
          <w:rFonts w:ascii="Times New Roman" w:hAnsi="Times New Roman" w:cs="Arial"/>
        </w:rPr>
      </w:pPr>
    </w:p>
    <w:p w:rsidR="005A5B0C" w:rsidRPr="00A640F3" w:rsidRDefault="005A5B0C" w:rsidP="00A640F3">
      <w:pPr>
        <w:pStyle w:val="Prrafodelista"/>
        <w:numPr>
          <w:ilvl w:val="0"/>
          <w:numId w:val="5"/>
        </w:numPr>
        <w:autoSpaceDE w:val="0"/>
        <w:autoSpaceDN w:val="0"/>
        <w:adjustRightInd w:val="0"/>
        <w:jc w:val="both"/>
        <w:rPr>
          <w:rFonts w:cs="Arial"/>
          <w:color w:val="000000"/>
        </w:rPr>
      </w:pPr>
      <w:r w:rsidRPr="00BA20B4">
        <w:rPr>
          <w:rFonts w:cs="Arial"/>
          <w:color w:val="000000"/>
          <w:szCs w:val="22"/>
        </w:rPr>
        <w:t>El preescolar que comprende</w:t>
      </w:r>
      <w:r w:rsidRPr="00BA20B4">
        <w:rPr>
          <w:rFonts w:cs="Arial"/>
          <w:color w:val="000000"/>
        </w:rPr>
        <w:t xml:space="preserve"> tres grados, de los cuales el último es el </w:t>
      </w:r>
      <w:r w:rsidRPr="00BA20B4">
        <w:rPr>
          <w:rFonts w:cs="Arial"/>
          <w:color w:val="000000"/>
          <w:szCs w:val="22"/>
        </w:rPr>
        <w:t>mínimo obligatorio</w:t>
      </w:r>
      <w:r w:rsidRPr="00BA20B4">
        <w:rPr>
          <w:rFonts w:cs="Arial"/>
          <w:color w:val="000000"/>
        </w:rPr>
        <w:t>.</w:t>
      </w:r>
    </w:p>
    <w:p w:rsidR="005A5B0C" w:rsidRPr="0065247F" w:rsidRDefault="005A5B0C" w:rsidP="0065247F">
      <w:pPr>
        <w:pStyle w:val="Prrafodelista"/>
        <w:numPr>
          <w:ilvl w:val="0"/>
          <w:numId w:val="5"/>
        </w:numPr>
        <w:autoSpaceDE w:val="0"/>
        <w:autoSpaceDN w:val="0"/>
        <w:adjustRightInd w:val="0"/>
        <w:jc w:val="both"/>
        <w:rPr>
          <w:rFonts w:cs="Arial"/>
          <w:szCs w:val="22"/>
          <w:lang w:val="es-ES"/>
        </w:rPr>
      </w:pPr>
      <w:r w:rsidRPr="00BA20B4">
        <w:rPr>
          <w:rFonts w:cs="Arial"/>
          <w:color w:val="000000"/>
          <w:szCs w:val="22"/>
        </w:rPr>
        <w:t xml:space="preserve">La educación básica con una duración de </w:t>
      </w:r>
      <w:r w:rsidRPr="00BA20B4">
        <w:rPr>
          <w:rFonts w:cs="Arial"/>
          <w:szCs w:val="22"/>
        </w:rPr>
        <w:t>9</w:t>
      </w:r>
      <w:r w:rsidRPr="00BA20B4">
        <w:rPr>
          <w:rFonts w:cs="Arial"/>
          <w:color w:val="000000"/>
          <w:szCs w:val="22"/>
        </w:rPr>
        <w:t xml:space="preserve"> grados que se desarrollará en dos ciclos: La educación básica primaria de </w:t>
      </w:r>
      <w:r w:rsidRPr="00BA20B4">
        <w:rPr>
          <w:rFonts w:cs="Arial"/>
          <w:szCs w:val="22"/>
        </w:rPr>
        <w:t>5</w:t>
      </w:r>
      <w:r w:rsidRPr="00BA20B4">
        <w:rPr>
          <w:rFonts w:cs="Arial"/>
          <w:color w:val="000000"/>
          <w:szCs w:val="22"/>
        </w:rPr>
        <w:t xml:space="preserve"> grados y la educación básica </w:t>
      </w:r>
      <w:r w:rsidRPr="00BA20B4">
        <w:rPr>
          <w:rFonts w:cs="Arial"/>
          <w:szCs w:val="22"/>
        </w:rPr>
        <w:t xml:space="preserve">secundaria de 4 grados. </w:t>
      </w:r>
      <w:r w:rsidRPr="00BA20B4">
        <w:rPr>
          <w:rFonts w:cs="Arial"/>
          <w:szCs w:val="22"/>
          <w:lang w:val="es-ES"/>
        </w:rPr>
        <w:t>El estudiante que haya cursado todos los grados de la educación básica, podrá acceder al servicio especial de educación laboral y obtener el título en un arte u oficio o el certificado de aptitud ocupacional correspondiente</w:t>
      </w:r>
      <w:r w:rsidR="007B60F6">
        <w:rPr>
          <w:rFonts w:cs="Arial"/>
          <w:szCs w:val="22"/>
          <w:lang w:val="es-ES"/>
        </w:rPr>
        <w:t>.</w:t>
      </w:r>
      <w:r w:rsidRPr="00BA20B4">
        <w:rPr>
          <w:rStyle w:val="Refdenotaalpie"/>
          <w:rFonts w:cs="Arial"/>
        </w:rPr>
        <w:footnoteReference w:id="38"/>
      </w:r>
      <w:r w:rsidRPr="00BA20B4">
        <w:rPr>
          <w:rFonts w:cs="Arial"/>
          <w:szCs w:val="22"/>
          <w:lang w:val="es-ES"/>
        </w:rPr>
        <w:t>La educación básica constituye, entonces, un prerrequisito para ingresar a la educación media o acceder al servicio especial de educación laboral.</w:t>
      </w:r>
    </w:p>
    <w:p w:rsidR="005A5B0C" w:rsidRPr="0065247F" w:rsidRDefault="005A5B0C" w:rsidP="0065247F">
      <w:pPr>
        <w:pStyle w:val="Prrafodelista"/>
        <w:numPr>
          <w:ilvl w:val="0"/>
          <w:numId w:val="5"/>
        </w:numPr>
        <w:autoSpaceDE w:val="0"/>
        <w:autoSpaceDN w:val="0"/>
        <w:adjustRightInd w:val="0"/>
        <w:jc w:val="both"/>
        <w:rPr>
          <w:rFonts w:cs="Arial"/>
          <w:color w:val="000000"/>
          <w:szCs w:val="22"/>
        </w:rPr>
      </w:pPr>
      <w:r w:rsidRPr="00BA20B4">
        <w:rPr>
          <w:rFonts w:cs="Arial"/>
          <w:color w:val="000000"/>
          <w:szCs w:val="22"/>
        </w:rPr>
        <w:t>La educación media con una duración de 2 grados (10 y 11). Tiene el carácter de académica o técnica y, a su término, se obtiene el título de bachiller que habilita al educando para ingresar a la educación superior en cualquiera de sus carreras. La educación media académica le permitirá al estudiante, según sus intereses y capacidades, profundizar en un campo específico de las ciencias, las artes o las humanidades. La educación media técnica prepara al estudiante para el desempeño laboral en uno de los sectores de la producción y de los servicios o para la continuación en la educación superior.</w:t>
      </w:r>
    </w:p>
    <w:p w:rsidR="005A5B0C" w:rsidRPr="00BA20B4" w:rsidRDefault="005A5B0C" w:rsidP="005A5B0C">
      <w:pPr>
        <w:pStyle w:val="Prrafodelista"/>
        <w:numPr>
          <w:ilvl w:val="0"/>
          <w:numId w:val="5"/>
        </w:numPr>
        <w:autoSpaceDE w:val="0"/>
        <w:autoSpaceDN w:val="0"/>
        <w:adjustRightInd w:val="0"/>
        <w:jc w:val="both"/>
        <w:rPr>
          <w:rFonts w:cs="Arial"/>
          <w:color w:val="000000"/>
          <w:szCs w:val="22"/>
        </w:rPr>
      </w:pPr>
      <w:r w:rsidRPr="00BA20B4">
        <w:rPr>
          <w:rFonts w:cs="Arial"/>
          <w:color w:val="000000"/>
          <w:szCs w:val="22"/>
        </w:rPr>
        <w:t>La educación superior que se realiza con posteridad a la educación media y tiene por objeto el desarrollo de los estudiantes y su formación académica o profesional.</w:t>
      </w:r>
    </w:p>
    <w:p w:rsidR="005A5B0C" w:rsidRPr="00BA20B4" w:rsidRDefault="005A5B0C" w:rsidP="005A5B0C">
      <w:pPr>
        <w:pStyle w:val="Default"/>
        <w:jc w:val="both"/>
        <w:rPr>
          <w:rFonts w:ascii="Times New Roman" w:hAnsi="Times New Roman"/>
          <w:szCs w:val="22"/>
          <w:lang w:val="es-ES"/>
        </w:rPr>
      </w:pPr>
    </w:p>
    <w:p w:rsidR="005A5B0C" w:rsidRPr="00B34170" w:rsidRDefault="005A5B0C" w:rsidP="005A5B0C">
      <w:pPr>
        <w:pStyle w:val="Default"/>
        <w:jc w:val="both"/>
        <w:rPr>
          <w:rFonts w:ascii="Times New Roman" w:hAnsi="Times New Roman"/>
          <w:b/>
          <w:szCs w:val="22"/>
          <w:lang w:val="es-ES"/>
        </w:rPr>
      </w:pPr>
      <w:r w:rsidRPr="00B34170">
        <w:rPr>
          <w:rFonts w:ascii="Times New Roman" w:hAnsi="Times New Roman"/>
          <w:b/>
          <w:szCs w:val="22"/>
          <w:lang w:val="es-ES"/>
        </w:rPr>
        <w:t>Atención a poblaciones vulnerables</w:t>
      </w:r>
    </w:p>
    <w:p w:rsidR="005A5B0C" w:rsidRPr="00BA20B4" w:rsidRDefault="005A5B0C" w:rsidP="005A5B0C">
      <w:pPr>
        <w:pStyle w:val="Default"/>
        <w:jc w:val="both"/>
        <w:rPr>
          <w:rFonts w:ascii="Times New Roman" w:hAnsi="Times New Roman"/>
          <w:sz w:val="22"/>
          <w:szCs w:val="22"/>
          <w:lang w:val="es-ES"/>
        </w:rPr>
      </w:pPr>
    </w:p>
    <w:p w:rsidR="005A5B0C" w:rsidRPr="00BA20B4" w:rsidRDefault="005A5B0C" w:rsidP="005A5B0C">
      <w:pPr>
        <w:jc w:val="both"/>
        <w:rPr>
          <w:rFonts w:ascii="Times New Roman" w:eastAsia="Times New Roman" w:hAnsi="Times New Roman" w:cs="Arial"/>
          <w:lang w:eastAsia="es-ES"/>
        </w:rPr>
      </w:pPr>
      <w:r w:rsidRPr="00BA20B4">
        <w:rPr>
          <w:rFonts w:ascii="Times New Roman" w:hAnsi="Times New Roman" w:cs="Arial"/>
          <w:lang w:val="es-MX"/>
        </w:rPr>
        <w:t xml:space="preserve">La </w:t>
      </w:r>
      <w:r w:rsidRPr="00BA20B4">
        <w:rPr>
          <w:rFonts w:ascii="Times New Roman" w:eastAsia="Times New Roman" w:hAnsi="Times New Roman" w:cs="Arial"/>
          <w:lang w:eastAsia="es-ES"/>
        </w:rPr>
        <w:t xml:space="preserve">Ley General de Educación identificó como </w:t>
      </w:r>
      <w:r w:rsidRPr="00BA20B4">
        <w:rPr>
          <w:rFonts w:ascii="Times New Roman" w:eastAsia="Times New Roman" w:hAnsi="Times New Roman" w:cs="Arial"/>
          <w:bCs/>
          <w:lang w:eastAsia="es-ES"/>
        </w:rPr>
        <w:t>poblaciones vulnerables,</w:t>
      </w:r>
      <w:r w:rsidRPr="00BA20B4">
        <w:rPr>
          <w:rFonts w:ascii="Times New Roman" w:eastAsia="Times New Roman" w:hAnsi="Times New Roman" w:cs="Arial"/>
          <w:lang w:eastAsia="es-ES"/>
        </w:rPr>
        <w:t xml:space="preserve"> a las personas que, por su naturaleza o por determinadas circunstancias, se encuentran en desventaja con respecto al resto de la población, y mayormente expuestos a la exclusión, la pobreza y los </w:t>
      </w:r>
      <w:r w:rsidRPr="00BA20B4">
        <w:rPr>
          <w:rFonts w:ascii="Times New Roman" w:eastAsia="Times New Roman" w:hAnsi="Times New Roman" w:cs="Arial"/>
          <w:lang w:eastAsia="es-ES"/>
        </w:rPr>
        <w:lastRenderedPageBreak/>
        <w:t>efectos de la inequidad y la violencia de todo orden. “El país, y en particular el sector educativo, entiende la vulnerabilidad como un fenómeno que deteriora el bienestar y la calidad de vida de las personas y que retrasa el desarrollo de los pueblos. Por este motivo, merece enfrentarse con políticas y con estrategias integrales y sostenibles, capaces de transformar en plazos razonables las causas que la generan. Hoy está más que demostrado que el principal instrumento para ese cambio es la educación”</w:t>
      </w:r>
      <w:r w:rsidRPr="00BA20B4">
        <w:rPr>
          <w:rStyle w:val="Refdenotaalpie"/>
          <w:rFonts w:ascii="Times New Roman" w:hAnsi="Times New Roman" w:cs="Arial"/>
        </w:rPr>
        <w:footnoteReference w:id="39"/>
      </w:r>
      <w:r w:rsidRPr="00BA20B4">
        <w:rPr>
          <w:rFonts w:ascii="Times New Roman" w:eastAsia="Times New Roman" w:hAnsi="Times New Roman" w:cs="Arial"/>
          <w:lang w:eastAsia="es-ES"/>
        </w:rPr>
        <w:t>.</w:t>
      </w:r>
    </w:p>
    <w:p w:rsidR="005A5B0C" w:rsidRPr="00BA20B4" w:rsidRDefault="005A5B0C" w:rsidP="005A5B0C">
      <w:pPr>
        <w:jc w:val="both"/>
        <w:rPr>
          <w:rFonts w:ascii="Times New Roman" w:eastAsia="Times New Roman" w:hAnsi="Times New Roman" w:cs="Arial"/>
          <w:lang w:eastAsia="es-ES"/>
        </w:rPr>
      </w:pPr>
    </w:p>
    <w:p w:rsidR="005A5B0C" w:rsidRPr="00BA20B4" w:rsidRDefault="005A5B0C" w:rsidP="005A5B0C">
      <w:pPr>
        <w:autoSpaceDE w:val="0"/>
        <w:autoSpaceDN w:val="0"/>
        <w:adjustRightInd w:val="0"/>
        <w:jc w:val="both"/>
        <w:rPr>
          <w:rFonts w:ascii="Times New Roman" w:eastAsia="Times New Roman" w:hAnsi="Times New Roman" w:cs="Arial"/>
          <w:color w:val="0000FF"/>
          <w:lang w:eastAsia="es-ES"/>
        </w:rPr>
      </w:pPr>
      <w:r w:rsidRPr="00BA20B4">
        <w:rPr>
          <w:rFonts w:ascii="Times New Roman" w:eastAsia="Times New Roman" w:hAnsi="Times New Roman" w:cs="Arial"/>
          <w:lang w:eastAsia="es-ES"/>
        </w:rPr>
        <w:t xml:space="preserve">Para lograrlo, la Ley General de Educación define en su Capítulo III modalidades de atención educativa para: personas con limitaciones físicas, sensoriales, psíquicas, cognoscitivas, emocionales o con capacidades intelectuales excepcionales; adultos que deseen suplir, completar o validar sus estudios y que superen la edad aceptada por niveles y grados; grupos étnicos </w:t>
      </w:r>
      <w:r w:rsidRPr="00BA20B4">
        <w:rPr>
          <w:rFonts w:ascii="Times New Roman" w:hAnsi="Times New Roman" w:cs="Arial"/>
          <w:lang w:eastAsia="es-ES"/>
        </w:rPr>
        <w:t>poseedores de una cultura, lengua, tradiciones y fueros propios y autóctonos</w:t>
      </w:r>
      <w:r w:rsidRPr="00BA20B4">
        <w:rPr>
          <w:rFonts w:ascii="Times New Roman" w:eastAsia="Times New Roman" w:hAnsi="Times New Roman" w:cs="Arial"/>
          <w:lang w:eastAsia="es-ES"/>
        </w:rPr>
        <w:t xml:space="preserve">; población campesina y rural; y </w:t>
      </w:r>
      <w:r w:rsidR="00BF5A10" w:rsidRPr="00BA20B4">
        <w:rPr>
          <w:rFonts w:ascii="Times New Roman" w:hAnsi="Times New Roman" w:cs="Arial"/>
          <w:lang w:eastAsia="es-ES"/>
        </w:rPr>
        <w:t xml:space="preserve">personas cuyo comportamiento individual y social exige </w:t>
      </w:r>
      <w:r w:rsidRPr="00BA20B4">
        <w:rPr>
          <w:rFonts w:ascii="Times New Roman" w:eastAsia="Times New Roman" w:hAnsi="Times New Roman" w:cs="Arial"/>
          <w:lang w:eastAsia="es-ES"/>
        </w:rPr>
        <w:t xml:space="preserve">educación para la rehabilitación social </w:t>
      </w:r>
      <w:r w:rsidR="00BF5A10" w:rsidRPr="00BA20B4">
        <w:rPr>
          <w:rFonts w:ascii="Times New Roman" w:eastAsia="Times New Roman" w:hAnsi="Times New Roman" w:cs="Arial"/>
          <w:lang w:eastAsia="es-ES"/>
        </w:rPr>
        <w:t xml:space="preserve">y </w:t>
      </w:r>
      <w:r w:rsidRPr="00BA20B4">
        <w:rPr>
          <w:rFonts w:ascii="Times New Roman" w:hAnsi="Times New Roman" w:cs="Arial"/>
          <w:lang w:eastAsia="es-ES"/>
        </w:rPr>
        <w:t>procesos educativos integrales que les permitan su reincorporación a la sociedad</w:t>
      </w:r>
      <w:r w:rsidRPr="00BA20B4">
        <w:rPr>
          <w:rFonts w:ascii="Times New Roman" w:eastAsia="Times New Roman" w:hAnsi="Times New Roman" w:cs="Arial"/>
          <w:lang w:eastAsia="es-ES"/>
        </w:rPr>
        <w:t xml:space="preserve">. El impacto y la prolongación del conflicto armado han exigido que el sector educativo amplíe la definición de población vulnerable, extendiéndola fundamentalmente a </w:t>
      </w:r>
      <w:r w:rsidR="00B34170">
        <w:rPr>
          <w:rFonts w:ascii="Times New Roman" w:eastAsia="Times New Roman" w:hAnsi="Times New Roman" w:cs="Arial"/>
          <w:lang w:eastAsia="es-ES"/>
        </w:rPr>
        <w:t>segmentos</w:t>
      </w:r>
      <w:r w:rsidRPr="00BA20B4">
        <w:rPr>
          <w:rFonts w:ascii="Times New Roman" w:eastAsia="Times New Roman" w:hAnsi="Times New Roman" w:cs="Arial"/>
          <w:lang w:eastAsia="es-ES"/>
        </w:rPr>
        <w:t xml:space="preserve"> poblacionales adicionales, tales como las personas en situación de desplazamiento</w:t>
      </w:r>
      <w:r w:rsidRPr="00BA20B4">
        <w:rPr>
          <w:rStyle w:val="Refdenotaalpie"/>
          <w:rFonts w:ascii="Times New Roman" w:hAnsi="Times New Roman" w:cs="Arial"/>
        </w:rPr>
        <w:footnoteReference w:id="40"/>
      </w:r>
      <w:r w:rsidRPr="00BA20B4">
        <w:rPr>
          <w:rFonts w:ascii="Times New Roman" w:eastAsia="Times New Roman" w:hAnsi="Times New Roman" w:cs="Arial"/>
          <w:lang w:eastAsia="es-ES"/>
        </w:rPr>
        <w:t>, o víctimas de vinculación a grupos armados.</w:t>
      </w:r>
    </w:p>
    <w:p w:rsidR="005A5B0C" w:rsidRPr="00BA20B4" w:rsidRDefault="005A5B0C" w:rsidP="005A5B0C">
      <w:pPr>
        <w:pStyle w:val="Default"/>
        <w:jc w:val="both"/>
        <w:rPr>
          <w:rFonts w:ascii="Times New Roman" w:hAnsi="Times New Roman"/>
          <w:sz w:val="22"/>
          <w:szCs w:val="22"/>
        </w:rPr>
      </w:pPr>
    </w:p>
    <w:p w:rsidR="005A5B0C" w:rsidRPr="00BA20B4" w:rsidRDefault="005A5B0C" w:rsidP="005A5B0C">
      <w:pPr>
        <w:pStyle w:val="Default"/>
        <w:jc w:val="both"/>
        <w:rPr>
          <w:rFonts w:ascii="Times New Roman" w:hAnsi="Times New Roman"/>
          <w:szCs w:val="22"/>
          <w:lang w:val="es-ES"/>
        </w:rPr>
      </w:pPr>
      <w:r w:rsidRPr="00BA20B4">
        <w:rPr>
          <w:rFonts w:ascii="Times New Roman" w:hAnsi="Times New Roman"/>
          <w:szCs w:val="22"/>
          <w:lang w:val="es-ES"/>
        </w:rPr>
        <w:t xml:space="preserve">Las acciones afirmativas dirigidas a grupos vulnerables suponen su acceso preferencial al sistema educativo, el desarrollo de metodologías flexibles y adaptadas a las condiciones particulares, y el seguimiento a su permanencia de manera diferencial. </w:t>
      </w:r>
    </w:p>
    <w:p w:rsidR="005A5B0C" w:rsidRPr="00BA20B4" w:rsidRDefault="005A5B0C" w:rsidP="005A5B0C">
      <w:pPr>
        <w:autoSpaceDE w:val="0"/>
        <w:autoSpaceDN w:val="0"/>
        <w:adjustRightInd w:val="0"/>
        <w:jc w:val="both"/>
        <w:rPr>
          <w:rFonts w:ascii="Times New Roman" w:hAnsi="Times New Roman" w:cs="Arial"/>
          <w:color w:val="1F1A17"/>
          <w:lang w:eastAsia="es-ES"/>
        </w:rPr>
      </w:pPr>
    </w:p>
    <w:p w:rsidR="005A5B0C" w:rsidRPr="00DC6C4F" w:rsidRDefault="003A0C71" w:rsidP="00DC6C4F">
      <w:pPr>
        <w:pStyle w:val="Ttulo3"/>
        <w:rPr>
          <w:rFonts w:ascii="Times New Roman" w:hAnsi="Times New Roman"/>
        </w:rPr>
      </w:pPr>
      <w:bookmarkStart w:id="9" w:name="_Toc362358035"/>
      <w:r w:rsidRPr="00DC6C4F">
        <w:rPr>
          <w:rFonts w:ascii="Times New Roman" w:hAnsi="Times New Roman"/>
        </w:rPr>
        <w:t>1.</w:t>
      </w:r>
      <w:r w:rsidR="000A2012" w:rsidRPr="00DC6C4F">
        <w:rPr>
          <w:rFonts w:ascii="Times New Roman" w:hAnsi="Times New Roman"/>
        </w:rPr>
        <w:t>4</w:t>
      </w:r>
      <w:r w:rsidR="005A5B0C" w:rsidRPr="00DC6C4F">
        <w:rPr>
          <w:rFonts w:ascii="Times New Roman" w:hAnsi="Times New Roman"/>
        </w:rPr>
        <w:t>. Las competencias del Distrito como entidad territorial</w:t>
      </w:r>
      <w:bookmarkEnd w:id="9"/>
    </w:p>
    <w:p w:rsidR="000A2012" w:rsidRPr="00BA20B4" w:rsidRDefault="000A2012" w:rsidP="000A2012">
      <w:pPr>
        <w:pStyle w:val="Default"/>
        <w:jc w:val="both"/>
        <w:rPr>
          <w:rFonts w:ascii="Times New Roman" w:hAnsi="Times New Roman"/>
          <w:sz w:val="22"/>
          <w:szCs w:val="22"/>
        </w:rPr>
      </w:pPr>
    </w:p>
    <w:p w:rsidR="000A2012" w:rsidRPr="00AC6E11" w:rsidRDefault="000A2012" w:rsidP="00AC6E11">
      <w:pPr>
        <w:pStyle w:val="Default"/>
        <w:jc w:val="both"/>
        <w:rPr>
          <w:rFonts w:ascii="Times New Roman" w:hAnsi="Times New Roman"/>
          <w:szCs w:val="22"/>
          <w:lang w:val="es-ES_tradnl"/>
        </w:rPr>
      </w:pPr>
      <w:r w:rsidRPr="00BA20B4">
        <w:rPr>
          <w:rFonts w:ascii="Times New Roman" w:hAnsi="Times New Roman"/>
          <w:szCs w:val="22"/>
        </w:rPr>
        <w:t>En el marco de un Estado Unitario</w:t>
      </w:r>
      <w:r w:rsidR="001E5A48">
        <w:rPr>
          <w:rFonts w:ascii="Times New Roman" w:hAnsi="Times New Roman"/>
          <w:szCs w:val="22"/>
        </w:rPr>
        <w:t xml:space="preserve"> y de los preceptos constitucionales, le corresponde al Gobierno Nacional y al Congreso de la República</w:t>
      </w:r>
      <w:r w:rsidRPr="00BA20B4">
        <w:rPr>
          <w:rFonts w:ascii="Times New Roman" w:hAnsi="Times New Roman"/>
          <w:szCs w:val="22"/>
        </w:rPr>
        <w:t xml:space="preserve"> la definición de las políticas nacionales y la expedición de las leyes generales que rigen en todo el país. Por tanto, los lineamientos fundamentales de cualquier política educativa se encuentran en la Constitución y en las leyes, donde se establece además el papel que le corresponde a las entidades territoriales. En consecuencia, las políticas, planes y programas distritales en materia de educación se realizan en el marco de determinaciones nacionales, dentro de las cuales la administración distrital y el Concejo pueden tomar decisiones específicas e imprimir un sello particular a su gestión.</w:t>
      </w:r>
      <w:r w:rsidR="00AC6E11">
        <w:rPr>
          <w:rFonts w:ascii="Times New Roman" w:hAnsi="Times New Roman"/>
          <w:szCs w:val="22"/>
          <w:lang w:val="es-ES_tradnl"/>
        </w:rPr>
        <w:t>L</w:t>
      </w:r>
      <w:r w:rsidR="000E5B66" w:rsidRPr="000E5B66">
        <w:rPr>
          <w:rFonts w:ascii="Times New Roman" w:hAnsi="Times New Roman"/>
          <w:szCs w:val="22"/>
          <w:lang w:val="es-ES_tradnl"/>
        </w:rPr>
        <w:t>a historia reciente indica que el Distrito ha tenido iniciativa y ha liderado cambios significativos cuya justeza social han promovido cambi</w:t>
      </w:r>
      <w:r w:rsidR="00AC6E11">
        <w:rPr>
          <w:rFonts w:ascii="Times New Roman" w:hAnsi="Times New Roman"/>
          <w:szCs w:val="22"/>
          <w:lang w:val="es-ES_tradnl"/>
        </w:rPr>
        <w:t>os de política a nivel nacional, por ejemplo en la gratuidad</w:t>
      </w:r>
      <w:r w:rsidR="000E5B66" w:rsidRPr="000E5B66">
        <w:rPr>
          <w:rFonts w:ascii="Times New Roman" w:hAnsi="Times New Roman"/>
          <w:szCs w:val="22"/>
          <w:lang w:val="es-ES_tradnl"/>
        </w:rPr>
        <w:t xml:space="preserve">. </w:t>
      </w:r>
    </w:p>
    <w:p w:rsidR="000A2012" w:rsidRPr="00BA20B4" w:rsidRDefault="000A2012" w:rsidP="005A5B0C">
      <w:pPr>
        <w:jc w:val="both"/>
        <w:rPr>
          <w:rFonts w:ascii="Times New Roman" w:hAnsi="Times New Roman"/>
          <w:lang w:val="es-ES"/>
        </w:rPr>
      </w:pPr>
    </w:p>
    <w:p w:rsidR="005A5B0C" w:rsidRPr="00BA20B4" w:rsidRDefault="005A5B0C" w:rsidP="005A5B0C">
      <w:pPr>
        <w:autoSpaceDE w:val="0"/>
        <w:autoSpaceDN w:val="0"/>
        <w:adjustRightInd w:val="0"/>
        <w:jc w:val="both"/>
        <w:rPr>
          <w:rFonts w:ascii="Times New Roman" w:hAnsi="Times New Roman" w:cs="Arial"/>
        </w:rPr>
      </w:pPr>
      <w:r w:rsidRPr="00BA20B4">
        <w:rPr>
          <w:rFonts w:ascii="Times New Roman" w:hAnsi="Times New Roman" w:cs="Arial"/>
        </w:rPr>
        <w:t>La prestación del servicio educativo público y la inspección y</w:t>
      </w:r>
      <w:r w:rsidR="001D6755">
        <w:rPr>
          <w:rFonts w:ascii="Times New Roman" w:hAnsi="Times New Roman" w:cs="Arial"/>
        </w:rPr>
        <w:t xml:space="preserve"> vigilancia del servicio</w:t>
      </w:r>
      <w:r w:rsidRPr="00BA20B4">
        <w:rPr>
          <w:rFonts w:ascii="Times New Roman" w:hAnsi="Times New Roman" w:cs="Arial"/>
        </w:rPr>
        <w:t xml:space="preserve">, se distribuye por mandato constitucional entre la nación y las entidades territoriales. La distribución actual de competencias se establece en la </w:t>
      </w:r>
      <w:r w:rsidR="004D2F20">
        <w:rPr>
          <w:rFonts w:ascii="Times New Roman" w:hAnsi="Times New Roman" w:cs="Arial"/>
        </w:rPr>
        <w:t>L</w:t>
      </w:r>
      <w:r w:rsidRPr="00BA20B4">
        <w:rPr>
          <w:rFonts w:ascii="Times New Roman" w:hAnsi="Times New Roman" w:cs="Arial"/>
        </w:rPr>
        <w:t xml:space="preserve">ey 715 de 2001, que determina específicamente lo que corresponde a cada nivel. </w:t>
      </w:r>
    </w:p>
    <w:p w:rsidR="005A5B0C" w:rsidRPr="00BA20B4" w:rsidRDefault="005A5B0C" w:rsidP="005A5B0C">
      <w:pPr>
        <w:autoSpaceDE w:val="0"/>
        <w:autoSpaceDN w:val="0"/>
        <w:adjustRightInd w:val="0"/>
        <w:jc w:val="both"/>
        <w:rPr>
          <w:rFonts w:ascii="Times New Roman" w:hAnsi="Times New Roman" w:cs="Arial"/>
        </w:rPr>
      </w:pPr>
    </w:p>
    <w:p w:rsidR="00972BFF" w:rsidRDefault="005A5B0C" w:rsidP="005A5B0C">
      <w:pPr>
        <w:autoSpaceDE w:val="0"/>
        <w:autoSpaceDN w:val="0"/>
        <w:adjustRightInd w:val="0"/>
        <w:jc w:val="both"/>
        <w:rPr>
          <w:rFonts w:ascii="Times New Roman" w:hAnsi="Times New Roman" w:cs="Arial"/>
          <w:snapToGrid w:val="0"/>
          <w:lang w:val="es-ES"/>
        </w:rPr>
      </w:pPr>
      <w:r w:rsidRPr="00BA20B4">
        <w:rPr>
          <w:rFonts w:ascii="Times New Roman" w:hAnsi="Times New Roman" w:cs="Arial"/>
        </w:rPr>
        <w:t xml:space="preserve">A la nación le corresponde </w:t>
      </w:r>
      <w:r w:rsidRPr="00BA20B4">
        <w:rPr>
          <w:rFonts w:ascii="Times New Roman" w:hAnsi="Times New Roman" w:cs="Arial"/>
          <w:snapToGrid w:val="0"/>
          <w:lang w:val="es-ES"/>
        </w:rPr>
        <w:t xml:space="preserve">formular las políticas y objetivos de desarrollo para el sector educativo, regular la prestación del servicio, impulsar proyectos de inversión con recursos diferentes </w:t>
      </w:r>
      <w:r w:rsidR="004B4FA6">
        <w:rPr>
          <w:rFonts w:ascii="Times New Roman" w:hAnsi="Times New Roman" w:cs="Arial"/>
          <w:snapToGrid w:val="0"/>
          <w:lang w:val="es-ES"/>
        </w:rPr>
        <w:t>a</w:t>
      </w:r>
      <w:r w:rsidRPr="00BA20B4">
        <w:rPr>
          <w:rFonts w:ascii="Times New Roman" w:hAnsi="Times New Roman" w:cs="Arial"/>
          <w:snapToGrid w:val="0"/>
          <w:lang w:val="es-ES"/>
        </w:rPr>
        <w:t xml:space="preserve"> los del Sistema General de Participaciones</w:t>
      </w:r>
      <w:r w:rsidR="004B4FA6">
        <w:rPr>
          <w:rFonts w:ascii="Times New Roman" w:hAnsi="Times New Roman" w:cs="Arial"/>
          <w:snapToGrid w:val="0"/>
          <w:lang w:val="es-ES"/>
        </w:rPr>
        <w:t xml:space="preserve"> (SGP)</w:t>
      </w:r>
      <w:r w:rsidRPr="00BA20B4">
        <w:rPr>
          <w:rFonts w:ascii="Times New Roman" w:hAnsi="Times New Roman" w:cs="Arial"/>
          <w:snapToGrid w:val="0"/>
          <w:lang w:val="es-ES"/>
        </w:rPr>
        <w:t xml:space="preserve">, establecer las normas técnicas curriculares y pedagógicas, </w:t>
      </w:r>
      <w:r w:rsidR="004B4FA6">
        <w:rPr>
          <w:rFonts w:ascii="Times New Roman" w:hAnsi="Times New Roman" w:cs="Arial"/>
          <w:snapToGrid w:val="0"/>
          <w:lang w:val="es-ES"/>
        </w:rPr>
        <w:t>determinar</w:t>
      </w:r>
      <w:r w:rsidRPr="00BA20B4">
        <w:rPr>
          <w:rFonts w:ascii="Times New Roman" w:hAnsi="Times New Roman" w:cs="Arial"/>
          <w:snapToGrid w:val="0"/>
          <w:lang w:val="es-ES"/>
        </w:rPr>
        <w:t xml:space="preserve"> instrumentos y mecanismos para la calidad de la educación, reglamentar y evaluar la carrera docente, evaluar la gestión de los entes territoriales, vigilar el cumplimiento de las políticas nacionales y del sector, expedir la regulación sobre los costos, y distribuir los recursos para educación del </w:t>
      </w:r>
      <w:r w:rsidR="004D2F20">
        <w:rPr>
          <w:rFonts w:ascii="Times New Roman" w:hAnsi="Times New Roman" w:cs="Arial"/>
          <w:snapToGrid w:val="0"/>
          <w:lang w:val="es-ES"/>
        </w:rPr>
        <w:t>SGP</w:t>
      </w:r>
      <w:r w:rsidRPr="00BA20B4">
        <w:rPr>
          <w:rFonts w:ascii="Times New Roman" w:hAnsi="Times New Roman" w:cs="Arial"/>
          <w:snapToGrid w:val="0"/>
          <w:lang w:val="es-ES"/>
        </w:rPr>
        <w:t xml:space="preserve">. </w:t>
      </w:r>
    </w:p>
    <w:p w:rsidR="005A5B0C" w:rsidRPr="00BA20B4" w:rsidRDefault="005A5B0C" w:rsidP="005A5B0C">
      <w:pPr>
        <w:autoSpaceDE w:val="0"/>
        <w:autoSpaceDN w:val="0"/>
        <w:adjustRightInd w:val="0"/>
        <w:jc w:val="both"/>
        <w:rPr>
          <w:rFonts w:ascii="Times New Roman" w:hAnsi="Times New Roman" w:cs="Arial"/>
        </w:rPr>
      </w:pPr>
    </w:p>
    <w:p w:rsidR="000E4478" w:rsidRDefault="005A5B0C" w:rsidP="005A5B0C">
      <w:pPr>
        <w:jc w:val="both"/>
        <w:rPr>
          <w:rFonts w:ascii="Times New Roman" w:hAnsi="Times New Roman" w:cs="Arial"/>
        </w:rPr>
      </w:pPr>
      <w:r w:rsidRPr="00BA20B4">
        <w:rPr>
          <w:rFonts w:ascii="Times New Roman" w:hAnsi="Times New Roman" w:cs="Arial"/>
          <w:lang w:val="es-ES"/>
        </w:rPr>
        <w:t xml:space="preserve">Los distritos y municipios certificados tienen dentro de sus funciones la dirección organización y prestación del servicio educativo, el manejo de los recursos provenientes del </w:t>
      </w:r>
      <w:r w:rsidR="00F85DB9">
        <w:rPr>
          <w:rFonts w:ascii="Times New Roman" w:hAnsi="Times New Roman" w:cs="Arial"/>
          <w:lang w:val="es-ES"/>
        </w:rPr>
        <w:t>S</w:t>
      </w:r>
      <w:r w:rsidRPr="00BA20B4">
        <w:rPr>
          <w:rFonts w:ascii="Times New Roman" w:hAnsi="Times New Roman" w:cs="Arial"/>
          <w:lang w:val="es-ES"/>
        </w:rPr>
        <w:t xml:space="preserve">GP, la administración de las instituciones educativas y del personal docente y la vigilancia de la aplicación de la regulación nacional. </w:t>
      </w:r>
      <w:r w:rsidRPr="00BA20B4">
        <w:rPr>
          <w:rFonts w:ascii="Times New Roman" w:hAnsi="Times New Roman" w:cs="Arial"/>
        </w:rPr>
        <w:t>Las Asambleas departamentales y los concejos distritales y municipales regulan la educación dentro de su jurisdicción. Las Secretarías de Educación en coordinación con las autoridades nacionales velan por la calidad y cobertura de la educación; establecen políticas, planes y programas; organizan el servicio educativo estatal; fomentan la investigación, innovación y desarrollo de currículos, métodos y medios pedagógicos; prestan asistencia técnica a los municipios y evalúan el servicio educativo.</w:t>
      </w:r>
    </w:p>
    <w:p w:rsidR="000E4478" w:rsidRDefault="000E4478" w:rsidP="005A5B0C">
      <w:pPr>
        <w:jc w:val="both"/>
        <w:rPr>
          <w:rFonts w:ascii="Times New Roman" w:hAnsi="Times New Roman" w:cs="Arial"/>
        </w:rPr>
      </w:pPr>
    </w:p>
    <w:p w:rsidR="005A5B0C" w:rsidRPr="00BA20B4" w:rsidRDefault="00846589" w:rsidP="005A5B0C">
      <w:pPr>
        <w:jc w:val="both"/>
        <w:rPr>
          <w:rFonts w:ascii="Times New Roman" w:hAnsi="Times New Roman" w:cs="Arial"/>
        </w:rPr>
      </w:pPr>
      <w:r w:rsidRPr="00BA20B4">
        <w:rPr>
          <w:rFonts w:ascii="Times New Roman" w:hAnsi="Times New Roman" w:cs="Arial"/>
        </w:rPr>
        <w:t xml:space="preserve">La descentralización, además de adjudicar </w:t>
      </w:r>
      <w:r w:rsidRPr="00BA20B4">
        <w:rPr>
          <w:rFonts w:ascii="Times New Roman" w:hAnsi="Times New Roman" w:cs="Arial"/>
          <w:lang w:eastAsia="es-ES"/>
        </w:rPr>
        <w:t xml:space="preserve">la responsabilidad por la prestación de los servicios de educación a los entes territoriales, reforzó la función de las </w:t>
      </w:r>
      <w:r w:rsidR="004B3D78">
        <w:rPr>
          <w:rFonts w:ascii="Times New Roman" w:hAnsi="Times New Roman" w:cs="Arial"/>
          <w:lang w:eastAsia="es-ES"/>
        </w:rPr>
        <w:t>instituciones educativas</w:t>
      </w:r>
      <w:r w:rsidR="00E652AF">
        <w:rPr>
          <w:rStyle w:val="Refdenotaalpie"/>
          <w:rFonts w:ascii="Times New Roman" w:hAnsi="Times New Roman" w:cs="Arial"/>
          <w:lang w:eastAsia="es-ES"/>
        </w:rPr>
        <w:footnoteReference w:id="41"/>
      </w:r>
      <w:r w:rsidRPr="00BA20B4">
        <w:rPr>
          <w:rFonts w:ascii="Times New Roman" w:hAnsi="Times New Roman" w:cs="Arial"/>
          <w:lang w:eastAsia="es-ES"/>
        </w:rPr>
        <w:t xml:space="preserve"> como </w:t>
      </w:r>
      <w:r w:rsidR="004B3D78">
        <w:rPr>
          <w:rFonts w:ascii="Times New Roman" w:hAnsi="Times New Roman" w:cs="Arial"/>
          <w:lang w:eastAsia="es-ES"/>
        </w:rPr>
        <w:t>entidades</w:t>
      </w:r>
      <w:r w:rsidRPr="00BA20B4">
        <w:rPr>
          <w:rFonts w:ascii="Times New Roman" w:hAnsi="Times New Roman" w:cs="Arial"/>
          <w:lang w:eastAsia="es-ES"/>
        </w:rPr>
        <w:t xml:space="preserve"> semi-autónomas, </w:t>
      </w:r>
      <w:r w:rsidR="004B3D78">
        <w:rPr>
          <w:rFonts w:ascii="Times New Roman" w:hAnsi="Times New Roman" w:cs="Arial"/>
          <w:lang w:eastAsia="es-ES"/>
        </w:rPr>
        <w:t xml:space="preserve">responsables de </w:t>
      </w:r>
      <w:r w:rsidR="008A615A">
        <w:rPr>
          <w:rFonts w:ascii="Times New Roman" w:hAnsi="Times New Roman" w:cs="Arial"/>
          <w:lang w:eastAsia="es-ES"/>
        </w:rPr>
        <w:t>la prestación del servicio educativo</w:t>
      </w:r>
      <w:r w:rsidR="00832A5D">
        <w:rPr>
          <w:rFonts w:ascii="Times New Roman" w:hAnsi="Times New Roman" w:cs="Arial"/>
          <w:lang w:eastAsia="es-ES"/>
        </w:rPr>
        <w:t xml:space="preserve">, y de la elaboración de un </w:t>
      </w:r>
      <w:r w:rsidR="005A5B0C" w:rsidRPr="00BA20B4">
        <w:rPr>
          <w:rFonts w:ascii="Times New Roman" w:hAnsi="Times New Roman" w:cs="Arial"/>
        </w:rPr>
        <w:t xml:space="preserve">Proyecto Educativo Institucional </w:t>
      </w:r>
      <w:r w:rsidR="000E4478">
        <w:rPr>
          <w:rFonts w:ascii="Times New Roman" w:hAnsi="Times New Roman" w:cs="Arial"/>
        </w:rPr>
        <w:t>–</w:t>
      </w:r>
      <w:r w:rsidR="005A5B0C" w:rsidRPr="00BA20B4">
        <w:rPr>
          <w:rFonts w:ascii="Times New Roman" w:hAnsi="Times New Roman" w:cs="Arial"/>
        </w:rPr>
        <w:t>PEI</w:t>
      </w:r>
      <w:r w:rsidR="000E4478">
        <w:rPr>
          <w:rFonts w:ascii="Times New Roman" w:hAnsi="Times New Roman" w:cs="Arial"/>
        </w:rPr>
        <w:t xml:space="preserve">- por medio </w:t>
      </w:r>
      <w:r w:rsidR="005A5B0C" w:rsidRPr="00BA20B4">
        <w:rPr>
          <w:rFonts w:ascii="Times New Roman" w:hAnsi="Times New Roman" w:cs="Arial"/>
        </w:rPr>
        <w:t xml:space="preserve">del cual se busca un plantel organizado, con una misión claramente </w:t>
      </w:r>
      <w:r w:rsidR="00832A5D" w:rsidRPr="00BA20B4">
        <w:rPr>
          <w:rFonts w:ascii="Times New Roman" w:hAnsi="Times New Roman" w:cs="Arial"/>
        </w:rPr>
        <w:t>delimitada</w:t>
      </w:r>
      <w:r w:rsidR="005A5B0C" w:rsidRPr="00BA20B4">
        <w:rPr>
          <w:rFonts w:ascii="Times New Roman" w:hAnsi="Times New Roman" w:cs="Arial"/>
        </w:rPr>
        <w:t xml:space="preserve">, con </w:t>
      </w:r>
      <w:r w:rsidR="00C77CFE">
        <w:rPr>
          <w:rFonts w:ascii="Times New Roman" w:hAnsi="Times New Roman" w:cs="Arial"/>
        </w:rPr>
        <w:t xml:space="preserve">estrategias </w:t>
      </w:r>
      <w:r w:rsidR="00832A5D">
        <w:rPr>
          <w:rFonts w:ascii="Times New Roman" w:hAnsi="Times New Roman" w:cs="Arial"/>
        </w:rPr>
        <w:t xml:space="preserve">pedagógicas </w:t>
      </w:r>
      <w:r w:rsidR="00C77CFE">
        <w:rPr>
          <w:rFonts w:ascii="Times New Roman" w:hAnsi="Times New Roman" w:cs="Arial"/>
        </w:rPr>
        <w:t>definidas</w:t>
      </w:r>
      <w:r w:rsidR="00832A5D">
        <w:rPr>
          <w:rFonts w:ascii="Times New Roman" w:hAnsi="Times New Roman" w:cs="Arial"/>
        </w:rPr>
        <w:t>,</w:t>
      </w:r>
      <w:r w:rsidR="00CF673F">
        <w:rPr>
          <w:rFonts w:ascii="Times New Roman" w:hAnsi="Times New Roman" w:cs="Arial"/>
        </w:rPr>
        <w:t xml:space="preserve"> </w:t>
      </w:r>
      <w:r w:rsidR="005A5B0C" w:rsidRPr="00BA20B4">
        <w:rPr>
          <w:rFonts w:ascii="Times New Roman" w:hAnsi="Times New Roman" w:cs="Arial"/>
        </w:rPr>
        <w:t xml:space="preserve">y programas curriculares acordes con las necesidades de formación de los </w:t>
      </w:r>
      <w:r w:rsidR="00F539F8">
        <w:rPr>
          <w:rFonts w:ascii="Times New Roman" w:hAnsi="Times New Roman" w:cs="Arial"/>
        </w:rPr>
        <w:t>estudiantes</w:t>
      </w:r>
      <w:r w:rsidR="005A5B0C" w:rsidRPr="00BA20B4">
        <w:rPr>
          <w:rFonts w:ascii="Times New Roman" w:hAnsi="Times New Roman" w:cs="Arial"/>
        </w:rPr>
        <w:t>.</w:t>
      </w:r>
    </w:p>
    <w:p w:rsidR="005A5B0C" w:rsidRPr="00BA20B4" w:rsidRDefault="005A5B0C" w:rsidP="005A5B0C">
      <w:pPr>
        <w:jc w:val="both"/>
        <w:rPr>
          <w:rFonts w:ascii="Times New Roman" w:hAnsi="Times New Roman" w:cs="Arial"/>
        </w:rPr>
      </w:pPr>
    </w:p>
    <w:p w:rsidR="005A5B0C" w:rsidRPr="00BA20B4" w:rsidRDefault="005A5B0C" w:rsidP="005A5B0C">
      <w:pPr>
        <w:tabs>
          <w:tab w:val="left" w:pos="0"/>
          <w:tab w:val="left" w:pos="540"/>
        </w:tabs>
        <w:jc w:val="both"/>
        <w:rPr>
          <w:rFonts w:ascii="Times New Roman" w:hAnsi="Times New Roman" w:cs="Arial"/>
          <w:color w:val="000000"/>
        </w:rPr>
      </w:pPr>
      <w:r w:rsidRPr="00BA20B4">
        <w:rPr>
          <w:rFonts w:ascii="Times New Roman" w:hAnsi="Times New Roman" w:cs="Arial"/>
          <w:color w:val="000000"/>
        </w:rPr>
        <w:t xml:space="preserve">El servicio educativo oficial se financia en las entidades territoriales con sus recursos propios y con recursos del </w:t>
      </w:r>
      <w:r w:rsidR="00B63BAA">
        <w:rPr>
          <w:rFonts w:ascii="Times New Roman" w:hAnsi="Times New Roman" w:cs="Arial"/>
          <w:color w:val="000000"/>
        </w:rPr>
        <w:t>S</w:t>
      </w:r>
      <w:r w:rsidR="007375E1">
        <w:rPr>
          <w:rFonts w:ascii="Times New Roman" w:hAnsi="Times New Roman" w:cs="Arial"/>
          <w:color w:val="000000"/>
        </w:rPr>
        <w:t>istema General de Participaciones –S</w:t>
      </w:r>
      <w:r w:rsidR="00B63BAA">
        <w:rPr>
          <w:rFonts w:ascii="Times New Roman" w:hAnsi="Times New Roman" w:cs="Arial"/>
          <w:color w:val="000000"/>
        </w:rPr>
        <w:t>GP</w:t>
      </w:r>
      <w:r w:rsidR="007375E1">
        <w:rPr>
          <w:rFonts w:ascii="Times New Roman" w:hAnsi="Times New Roman" w:cs="Arial"/>
          <w:color w:val="000000"/>
        </w:rPr>
        <w:t>-</w:t>
      </w:r>
      <w:r w:rsidRPr="00BA20B4">
        <w:rPr>
          <w:rFonts w:ascii="Times New Roman" w:hAnsi="Times New Roman" w:cs="Arial"/>
          <w:color w:val="000000"/>
        </w:rPr>
        <w:t xml:space="preserve">. La mayoría de municipios y departamentos del país no cuenta con recursos propios significativos, razón por la cual dependen principalmente de </w:t>
      </w:r>
      <w:r w:rsidR="00846589">
        <w:rPr>
          <w:rFonts w:ascii="Times New Roman" w:hAnsi="Times New Roman" w:cs="Arial"/>
          <w:color w:val="000000"/>
        </w:rPr>
        <w:t>la</w:t>
      </w:r>
      <w:r w:rsidRPr="00BA20B4">
        <w:rPr>
          <w:rFonts w:ascii="Times New Roman" w:hAnsi="Times New Roman" w:cs="Arial"/>
          <w:color w:val="000000"/>
        </w:rPr>
        <w:t xml:space="preserve"> transferencia nacional, pero ciudades como Bogotá tienen capacidad fiscal para aportar una proporción importante al sector. La Constitución crea una participación específica para el sector educación, que es reglamentada por la </w:t>
      </w:r>
      <w:r w:rsidR="00407876">
        <w:rPr>
          <w:rFonts w:ascii="Times New Roman" w:hAnsi="Times New Roman" w:cs="Arial"/>
          <w:color w:val="000000"/>
        </w:rPr>
        <w:t>L</w:t>
      </w:r>
      <w:r w:rsidRPr="00BA20B4">
        <w:rPr>
          <w:rFonts w:ascii="Times New Roman" w:hAnsi="Times New Roman" w:cs="Arial"/>
          <w:color w:val="000000"/>
        </w:rPr>
        <w:t>ey 715 del 2001. Del total de la transferencia global del SGP, corresponde al sector educativo el 58,5%, después de descontar algunas asignaciones especiales</w:t>
      </w:r>
      <w:r w:rsidR="00B63BAA">
        <w:rPr>
          <w:rFonts w:ascii="Times New Roman" w:hAnsi="Times New Roman" w:cs="Arial"/>
          <w:color w:val="000000"/>
        </w:rPr>
        <w:t>.</w:t>
      </w:r>
      <w:r w:rsidR="00CF673F">
        <w:rPr>
          <w:rFonts w:ascii="Times New Roman" w:hAnsi="Times New Roman" w:cs="Arial"/>
          <w:color w:val="000000"/>
        </w:rPr>
        <w:t xml:space="preserve"> </w:t>
      </w:r>
      <w:r w:rsidR="00B63BAA">
        <w:rPr>
          <w:rFonts w:ascii="Times New Roman" w:hAnsi="Times New Roman" w:cs="Arial"/>
          <w:color w:val="000000"/>
        </w:rPr>
        <w:t>Estos recursos</w:t>
      </w:r>
      <w:r w:rsidRPr="00BA20B4">
        <w:rPr>
          <w:rFonts w:ascii="Times New Roman" w:hAnsi="Times New Roman" w:cs="Arial"/>
          <w:color w:val="000000"/>
        </w:rPr>
        <w:t xml:space="preserve"> son distribuidos a los entes territoriales teniendo en cuenta los </w:t>
      </w:r>
      <w:r w:rsidRPr="00BA20B4">
        <w:rPr>
          <w:rFonts w:ascii="Times New Roman" w:hAnsi="Times New Roman" w:cs="Arial"/>
          <w:color w:val="000000"/>
        </w:rPr>
        <w:lastRenderedPageBreak/>
        <w:t>siguientes criterios</w:t>
      </w:r>
      <w:r w:rsidRPr="00BA20B4">
        <w:rPr>
          <w:rStyle w:val="Refdenotaalpie"/>
          <w:rFonts w:ascii="Times New Roman" w:hAnsi="Times New Roman" w:cs="Arial"/>
        </w:rPr>
        <w:footnoteReference w:id="42"/>
      </w:r>
      <w:r w:rsidRPr="00BA20B4">
        <w:rPr>
          <w:rFonts w:ascii="Times New Roman" w:hAnsi="Times New Roman" w:cs="Arial"/>
          <w:color w:val="000000"/>
        </w:rPr>
        <w:t>:</w:t>
      </w:r>
      <w:r w:rsidR="005E151F">
        <w:rPr>
          <w:rFonts w:ascii="Times New Roman" w:hAnsi="Times New Roman" w:cs="Arial"/>
          <w:color w:val="000000"/>
        </w:rPr>
        <w:t xml:space="preserve"> población atendida, población por atender y equidad. Dentro del criterio de población atendida se defin</w:t>
      </w:r>
      <w:r w:rsidR="00DF4772">
        <w:rPr>
          <w:rFonts w:ascii="Times New Roman" w:hAnsi="Times New Roman" w:cs="Arial"/>
          <w:color w:val="000000"/>
        </w:rPr>
        <w:t>en</w:t>
      </w:r>
      <w:r w:rsidR="005E151F">
        <w:rPr>
          <w:rFonts w:ascii="Times New Roman" w:hAnsi="Times New Roman" w:cs="Arial"/>
          <w:color w:val="000000"/>
        </w:rPr>
        <w:t xml:space="preserve"> tipologías, </w:t>
      </w:r>
      <w:r w:rsidR="007375E1">
        <w:rPr>
          <w:rFonts w:ascii="Times New Roman" w:hAnsi="Times New Roman" w:cs="Arial"/>
          <w:color w:val="000000"/>
        </w:rPr>
        <w:t xml:space="preserve">basadas en </w:t>
      </w:r>
      <w:r w:rsidR="005E151F">
        <w:rPr>
          <w:rFonts w:ascii="Times New Roman" w:hAnsi="Times New Roman" w:cs="Arial"/>
          <w:color w:val="000000"/>
        </w:rPr>
        <w:t xml:space="preserve">un conjunto de variables que caracterizan la prestación del servicio por niveles y por zona urbana y rural, con base en las cuales se define la asignación anual por </w:t>
      </w:r>
      <w:r w:rsidR="00407876">
        <w:rPr>
          <w:rFonts w:ascii="Times New Roman" w:hAnsi="Times New Roman" w:cs="Arial"/>
          <w:color w:val="000000"/>
        </w:rPr>
        <w:t>estudiante</w:t>
      </w:r>
      <w:r w:rsidR="005E151F">
        <w:rPr>
          <w:rFonts w:ascii="Times New Roman" w:hAnsi="Times New Roman" w:cs="Arial"/>
          <w:color w:val="000000"/>
        </w:rPr>
        <w:t>.</w:t>
      </w:r>
    </w:p>
    <w:p w:rsidR="00B35F4A" w:rsidRDefault="00B35F4A" w:rsidP="005A5B0C">
      <w:pPr>
        <w:jc w:val="both"/>
        <w:rPr>
          <w:rFonts w:ascii="Times New Roman" w:hAnsi="Times New Roman" w:cs="Arial"/>
        </w:rPr>
      </w:pPr>
    </w:p>
    <w:p w:rsidR="005A5B0C" w:rsidRPr="00BA20B4" w:rsidRDefault="005A5B0C" w:rsidP="005A5B0C">
      <w:pPr>
        <w:jc w:val="both"/>
        <w:rPr>
          <w:rFonts w:ascii="Times New Roman" w:hAnsi="Times New Roman" w:cs="Arial"/>
        </w:rPr>
      </w:pPr>
      <w:r w:rsidRPr="00BA20B4">
        <w:rPr>
          <w:rFonts w:ascii="Times New Roman" w:hAnsi="Times New Roman" w:cs="Arial"/>
        </w:rPr>
        <w:t>Las entidades territoriales, dentro de ellas el Distrito, deben destinar los recursos de la transferencia a los siguientes propósitos: pago del personal docente y administrativo delas instituciones educativas públicas, construcción y mantenimiento de infraestructura, provisión de la canasta educativa, contratación del servicio educativo, acciones tendientes a garantizar la permanencia escolar</w:t>
      </w:r>
      <w:r w:rsidR="00E53C3E">
        <w:rPr>
          <w:rFonts w:ascii="Times New Roman" w:hAnsi="Times New Roman" w:cs="Arial"/>
        </w:rPr>
        <w:t>,</w:t>
      </w:r>
      <w:r w:rsidRPr="00BA20B4">
        <w:rPr>
          <w:rFonts w:ascii="Times New Roman" w:hAnsi="Times New Roman" w:cs="Arial"/>
        </w:rPr>
        <w:t xml:space="preserve"> y promoción de la calidad educativa.  </w:t>
      </w:r>
    </w:p>
    <w:p w:rsidR="005A5B0C" w:rsidRPr="00BA20B4" w:rsidRDefault="005A5B0C" w:rsidP="005A5B0C">
      <w:pPr>
        <w:jc w:val="both"/>
        <w:rPr>
          <w:rFonts w:ascii="Times New Roman" w:hAnsi="Times New Roman" w:cs="Arial"/>
        </w:rPr>
      </w:pPr>
    </w:p>
    <w:p w:rsidR="006907D9" w:rsidRPr="00DC6C4F" w:rsidRDefault="006907D9" w:rsidP="00DC6C4F">
      <w:pPr>
        <w:pStyle w:val="Ttulo3"/>
        <w:rPr>
          <w:rFonts w:ascii="Times New Roman" w:hAnsi="Times New Roman"/>
        </w:rPr>
      </w:pPr>
      <w:bookmarkStart w:id="11" w:name="_Toc362358036"/>
      <w:r w:rsidRPr="00DC6C4F">
        <w:rPr>
          <w:rFonts w:ascii="Times New Roman" w:hAnsi="Times New Roman"/>
        </w:rPr>
        <w:t>1.5. La gestión pública participativa en el sector educativo</w:t>
      </w:r>
      <w:bookmarkEnd w:id="11"/>
    </w:p>
    <w:p w:rsidR="006907D9" w:rsidRDefault="006907D9" w:rsidP="006907D9">
      <w:pPr>
        <w:jc w:val="both"/>
        <w:rPr>
          <w:rFonts w:ascii="Times New Roman" w:hAnsi="Times New Roman"/>
        </w:rPr>
      </w:pPr>
    </w:p>
    <w:p w:rsidR="006907D9" w:rsidRDefault="006907D9" w:rsidP="006907D9">
      <w:pPr>
        <w:jc w:val="both"/>
        <w:rPr>
          <w:rFonts w:ascii="Times New Roman" w:hAnsi="Times New Roman"/>
        </w:rPr>
      </w:pPr>
      <w:r>
        <w:rPr>
          <w:rFonts w:ascii="Times New Roman" w:hAnsi="Times New Roman"/>
        </w:rPr>
        <w:t xml:space="preserve">La </w:t>
      </w:r>
      <w:r w:rsidR="002D733E">
        <w:rPr>
          <w:rFonts w:ascii="Times New Roman" w:hAnsi="Times New Roman"/>
        </w:rPr>
        <w:t>L</w:t>
      </w:r>
      <w:r>
        <w:rPr>
          <w:rFonts w:ascii="Times New Roman" w:hAnsi="Times New Roman"/>
        </w:rPr>
        <w:t xml:space="preserve">ey 115 de 1994, </w:t>
      </w:r>
      <w:r w:rsidR="00426A68">
        <w:rPr>
          <w:rFonts w:ascii="Times New Roman" w:hAnsi="Times New Roman"/>
        </w:rPr>
        <w:t>L</w:t>
      </w:r>
      <w:r>
        <w:rPr>
          <w:rFonts w:ascii="Times New Roman" w:hAnsi="Times New Roman"/>
        </w:rPr>
        <w:t xml:space="preserve">ey </w:t>
      </w:r>
      <w:r w:rsidR="00426A68">
        <w:rPr>
          <w:rFonts w:ascii="Times New Roman" w:hAnsi="Times New Roman"/>
        </w:rPr>
        <w:t>G</w:t>
      </w:r>
      <w:r>
        <w:rPr>
          <w:rFonts w:ascii="Times New Roman" w:hAnsi="Times New Roman"/>
        </w:rPr>
        <w:t xml:space="preserve">eneral de </w:t>
      </w:r>
      <w:r w:rsidR="00426A68">
        <w:rPr>
          <w:rFonts w:ascii="Times New Roman" w:hAnsi="Times New Roman"/>
        </w:rPr>
        <w:t>E</w:t>
      </w:r>
      <w:r>
        <w:rPr>
          <w:rFonts w:ascii="Times New Roman" w:hAnsi="Times New Roman"/>
        </w:rPr>
        <w:t xml:space="preserve">ducación, establece unos mecanismos y procedimientos para la gestión participativa del sector </w:t>
      </w:r>
      <w:r w:rsidR="008479F0">
        <w:rPr>
          <w:rFonts w:ascii="Times New Roman" w:hAnsi="Times New Roman"/>
        </w:rPr>
        <w:t>en</w:t>
      </w:r>
      <w:r>
        <w:rPr>
          <w:rFonts w:ascii="Times New Roman" w:hAnsi="Times New Roman"/>
        </w:rPr>
        <w:t xml:space="preserve"> distintos niveles. Por una parte, crea las Juntas Distritales de Educación con el fin de verificar el cumplimiento de las políticas nacionales y examinar aspectos específicos como los currículos, plantas de personal, mejoramiento de los docentes y calendarios académicos. La Junta Distrital está conformada por el alcalde, los </w:t>
      </w:r>
      <w:r w:rsidR="00426A68">
        <w:rPr>
          <w:rFonts w:ascii="Times New Roman" w:hAnsi="Times New Roman"/>
        </w:rPr>
        <w:t>S</w:t>
      </w:r>
      <w:r>
        <w:rPr>
          <w:rFonts w:ascii="Times New Roman" w:hAnsi="Times New Roman"/>
        </w:rPr>
        <w:t xml:space="preserve">ecretarios de Educación, de Hacienda y Planeación, dos representantes de los educadores, un representante de las instituciones educativas privadas, un representante de los directivos docentes, un representante del sector productivo y un representante de las comunidades negras. De otra parte, </w:t>
      </w:r>
      <w:r w:rsidR="00340CD2">
        <w:rPr>
          <w:rFonts w:ascii="Times New Roman" w:hAnsi="Times New Roman"/>
        </w:rPr>
        <w:t>establece</w:t>
      </w:r>
      <w:r>
        <w:rPr>
          <w:rFonts w:ascii="Times New Roman" w:hAnsi="Times New Roman"/>
        </w:rPr>
        <w:t xml:space="preserve"> los Foros Educativos Distritales, con el fin de reflexionar sobre el estado de la educación y hacer recomendaciones a las autoridades educativas respectivas</w:t>
      </w:r>
      <w:r w:rsidR="00B63BAA">
        <w:rPr>
          <w:rFonts w:ascii="Times New Roman" w:hAnsi="Times New Roman"/>
        </w:rPr>
        <w:t xml:space="preserve"> en relación con el</w:t>
      </w:r>
      <w:r>
        <w:rPr>
          <w:rFonts w:ascii="Times New Roman" w:hAnsi="Times New Roman"/>
        </w:rPr>
        <w:t xml:space="preserve"> mejoramiento y </w:t>
      </w:r>
      <w:r w:rsidR="00B63BAA">
        <w:rPr>
          <w:rFonts w:ascii="Times New Roman" w:hAnsi="Times New Roman"/>
        </w:rPr>
        <w:t xml:space="preserve">la </w:t>
      </w:r>
      <w:r>
        <w:rPr>
          <w:rFonts w:ascii="Times New Roman" w:hAnsi="Times New Roman"/>
        </w:rPr>
        <w:t xml:space="preserve">cobertura </w:t>
      </w:r>
      <w:r w:rsidR="00B63BAA">
        <w:rPr>
          <w:rFonts w:ascii="Times New Roman" w:hAnsi="Times New Roman"/>
        </w:rPr>
        <w:t>en el servicio</w:t>
      </w:r>
      <w:r w:rsidR="00426A68">
        <w:rPr>
          <w:rFonts w:ascii="Times New Roman" w:hAnsi="Times New Roman"/>
        </w:rPr>
        <w:t>. L</w:t>
      </w:r>
      <w:r>
        <w:rPr>
          <w:rFonts w:ascii="Times New Roman" w:hAnsi="Times New Roman"/>
        </w:rPr>
        <w:t>os foros se deberán iniciar en el primer trimestre del año, serán convocados y presididos por los alcaldes y participarán los miembros de la Junta Distrital de Educación, las autoridades educativas y representantes de la comunidad educativa; adicionalmente, deberá realizarse un foro en cada una de las localidades de Bogotá.</w:t>
      </w:r>
    </w:p>
    <w:p w:rsidR="006907D9" w:rsidRDefault="006907D9" w:rsidP="006907D9">
      <w:pPr>
        <w:jc w:val="both"/>
        <w:rPr>
          <w:rFonts w:ascii="Times New Roman" w:hAnsi="Times New Roman"/>
        </w:rPr>
      </w:pPr>
    </w:p>
    <w:p w:rsidR="006907D9" w:rsidRDefault="006907D9" w:rsidP="006907D9">
      <w:pPr>
        <w:jc w:val="both"/>
        <w:rPr>
          <w:rFonts w:ascii="Times New Roman" w:hAnsi="Times New Roman"/>
        </w:rPr>
      </w:pPr>
      <w:r>
        <w:rPr>
          <w:rFonts w:ascii="Times New Roman" w:hAnsi="Times New Roman"/>
        </w:rPr>
        <w:t>De otra parte, cada establecimiento educativo estatal deberá tener un gobierno escolar conformado por el rector, el Consejo Directivo y el Consejo Académico; en el gobierno escolar deben ser consideradas las iniciativas de los estudiantes, de los educadores, de los administradores y de los padres de familia en diferentes temas, y la comunidad educativa debe ser informada para permitir una participación seria y responsable en la dirección de las instituciones. La vinculación de los diversos estamentos se concreta en el consejo directivo, que estará conformado por el rector, dos representantes de los docentes, dos representantes de los padres de familia, un representante de los estudiantes que deberá estar cursando el último grado ofrecido por la institución, un representante de los exalumnos</w:t>
      </w:r>
      <w:r w:rsidR="00430963">
        <w:rPr>
          <w:rFonts w:ascii="Times New Roman" w:hAnsi="Times New Roman"/>
        </w:rPr>
        <w:t xml:space="preserve"> y</w:t>
      </w:r>
      <w:r>
        <w:rPr>
          <w:rFonts w:ascii="Times New Roman" w:hAnsi="Times New Roman"/>
        </w:rPr>
        <w:t xml:space="preserve"> un representante de los sectores productivos del área de influencia. Los consejos directivos tienen una lista de funciones</w:t>
      </w:r>
      <w:r w:rsidR="00CF673F">
        <w:rPr>
          <w:rFonts w:ascii="Times New Roman" w:hAnsi="Times New Roman"/>
        </w:rPr>
        <w:t xml:space="preserve"> </w:t>
      </w:r>
      <w:r w:rsidR="00B63BAA">
        <w:rPr>
          <w:rFonts w:ascii="Times New Roman" w:hAnsi="Times New Roman"/>
        </w:rPr>
        <w:t xml:space="preserve">centradas en </w:t>
      </w:r>
      <w:r>
        <w:rPr>
          <w:rFonts w:ascii="Times New Roman" w:hAnsi="Times New Roman"/>
        </w:rPr>
        <w:t>la toma de decisiones que afectan el funcionamiento de la institución.</w:t>
      </w:r>
    </w:p>
    <w:p w:rsidR="006907D9" w:rsidRDefault="006907D9" w:rsidP="006907D9">
      <w:pPr>
        <w:jc w:val="both"/>
        <w:rPr>
          <w:rFonts w:ascii="Times New Roman" w:hAnsi="Times New Roman"/>
        </w:rPr>
      </w:pPr>
    </w:p>
    <w:p w:rsidR="006907D9" w:rsidRDefault="006907D9" w:rsidP="006907D9">
      <w:pPr>
        <w:jc w:val="both"/>
        <w:rPr>
          <w:rFonts w:ascii="Times New Roman" w:hAnsi="Times New Roman"/>
        </w:rPr>
      </w:pPr>
      <w:r>
        <w:rPr>
          <w:rFonts w:ascii="Times New Roman" w:hAnsi="Times New Roman"/>
        </w:rPr>
        <w:t>El Distrito adicionalmente creó</w:t>
      </w:r>
      <w:r w:rsidR="007A1C3C">
        <w:rPr>
          <w:rFonts w:ascii="Times New Roman" w:hAnsi="Times New Roman"/>
        </w:rPr>
        <w:t>,</w:t>
      </w:r>
      <w:r w:rsidR="00CF673F">
        <w:rPr>
          <w:rFonts w:ascii="Times New Roman" w:hAnsi="Times New Roman"/>
        </w:rPr>
        <w:t xml:space="preserve"> </w:t>
      </w:r>
      <w:r w:rsidR="000812B9">
        <w:rPr>
          <w:rFonts w:ascii="Times New Roman" w:hAnsi="Times New Roman"/>
        </w:rPr>
        <w:t xml:space="preserve">mediante el </w:t>
      </w:r>
      <w:r>
        <w:rPr>
          <w:rFonts w:ascii="Times New Roman" w:hAnsi="Times New Roman"/>
        </w:rPr>
        <w:t>Decreto 293 de 2008</w:t>
      </w:r>
      <w:r w:rsidR="007A1C3C">
        <w:rPr>
          <w:rFonts w:ascii="Times New Roman" w:hAnsi="Times New Roman"/>
        </w:rPr>
        <w:t>,</w:t>
      </w:r>
      <w:r>
        <w:rPr>
          <w:rFonts w:ascii="Times New Roman" w:hAnsi="Times New Roman"/>
        </w:rPr>
        <w:t xml:space="preserve"> unas instancias específicas para la discusión de la política educativa</w:t>
      </w:r>
      <w:r w:rsidR="000812B9">
        <w:rPr>
          <w:rFonts w:ascii="Times New Roman" w:hAnsi="Times New Roman"/>
        </w:rPr>
        <w:t xml:space="preserve"> como e</w:t>
      </w:r>
      <w:r>
        <w:rPr>
          <w:rFonts w:ascii="Times New Roman" w:hAnsi="Times New Roman"/>
        </w:rPr>
        <w:t xml:space="preserve">l Consejo Consultivo de Política Educativa, cuyo objeto es la discusión, el análisis y la construcción de recomendaciones y propuestas relacionadas con el diseño y desarrollo de la </w:t>
      </w:r>
      <w:r w:rsidR="00B63BAA">
        <w:rPr>
          <w:rFonts w:ascii="Times New Roman" w:hAnsi="Times New Roman"/>
        </w:rPr>
        <w:t>p</w:t>
      </w:r>
      <w:r>
        <w:rPr>
          <w:rFonts w:ascii="Times New Roman" w:hAnsi="Times New Roman"/>
        </w:rPr>
        <w:t xml:space="preserve">olítica </w:t>
      </w:r>
      <w:r w:rsidR="00B63BAA">
        <w:rPr>
          <w:rFonts w:ascii="Times New Roman" w:hAnsi="Times New Roman"/>
        </w:rPr>
        <w:t>p</w:t>
      </w:r>
      <w:r>
        <w:rPr>
          <w:rFonts w:ascii="Times New Roman" w:hAnsi="Times New Roman"/>
        </w:rPr>
        <w:t xml:space="preserve">ública </w:t>
      </w:r>
      <w:r w:rsidR="00B63BAA">
        <w:rPr>
          <w:rFonts w:ascii="Times New Roman" w:hAnsi="Times New Roman"/>
        </w:rPr>
        <w:t>e</w:t>
      </w:r>
      <w:r>
        <w:rPr>
          <w:rFonts w:ascii="Times New Roman" w:hAnsi="Times New Roman"/>
        </w:rPr>
        <w:t xml:space="preserve">ducativa </w:t>
      </w:r>
      <w:r w:rsidR="00B63BAA">
        <w:rPr>
          <w:rFonts w:ascii="Times New Roman" w:hAnsi="Times New Roman"/>
        </w:rPr>
        <w:t>d</w:t>
      </w:r>
      <w:r>
        <w:rPr>
          <w:rFonts w:ascii="Times New Roman" w:hAnsi="Times New Roman"/>
        </w:rPr>
        <w:t>istrital. Este consejo está conformado por la Secretaría de Educación y otras secretarías y entidades distritales, por representantes de los alcaldes locales, por delegados de cada una de las mesas distritales de política educativa y por delegados de los consejos consultivos locales</w:t>
      </w:r>
      <w:r>
        <w:rPr>
          <w:rStyle w:val="Refdenotaalpie"/>
          <w:rFonts w:ascii="Times New Roman" w:hAnsi="Times New Roman"/>
        </w:rPr>
        <w:footnoteReference w:id="43"/>
      </w:r>
      <w:r>
        <w:rPr>
          <w:rFonts w:ascii="Times New Roman" w:hAnsi="Times New Roman"/>
        </w:rPr>
        <w:t>. Adicionalmente, se crearon los consejos consultivos locales de política educativa, cuya composición fue reglamentada por la Resolución SED 4491 de 2008. Estos consejos deben estudiar las políticas, programas y proyectos educativos del distrito, proponer modificaciones y recomendar acciones para su mejor aplicación, así como impulsar el debate y la consulta sobre el Plan de Desarrollo Local y el Plan Educativo Local.</w:t>
      </w:r>
    </w:p>
    <w:p w:rsidR="006907D9" w:rsidRDefault="006907D9" w:rsidP="006907D9">
      <w:pPr>
        <w:jc w:val="both"/>
        <w:rPr>
          <w:rFonts w:ascii="Times New Roman" w:hAnsi="Times New Roman"/>
        </w:rPr>
      </w:pPr>
    </w:p>
    <w:p w:rsidR="000601B5" w:rsidRDefault="006907D9" w:rsidP="005A5B0C">
      <w:pPr>
        <w:jc w:val="both"/>
        <w:rPr>
          <w:rFonts w:ascii="Times New Roman" w:hAnsi="Times New Roman"/>
        </w:rPr>
      </w:pPr>
      <w:r>
        <w:rPr>
          <w:rFonts w:ascii="Times New Roman" w:hAnsi="Times New Roman"/>
        </w:rPr>
        <w:t>Finalmente, el decreto 293 de 2008 ordenó promover la conformación de las mesas distritales y locales, concebidas como espacios donde los diversos actores de la comunidad educativa deliberan, proponen y participan del diseño y desarrollo de la política educativa y formulan observaciones sobre los planes educativos locales y sobre el Plan Sectorial de Educación. En el distrito, según la resolución 4991 de 2008, habrá trece mesas: padres y madres de familia</w:t>
      </w:r>
      <w:r w:rsidR="008047A6">
        <w:rPr>
          <w:rFonts w:ascii="Times New Roman" w:hAnsi="Times New Roman"/>
        </w:rPr>
        <w:t>;</w:t>
      </w:r>
      <w:r>
        <w:rPr>
          <w:rFonts w:ascii="Times New Roman" w:hAnsi="Times New Roman"/>
        </w:rPr>
        <w:t xml:space="preserve"> rectores</w:t>
      </w:r>
      <w:r w:rsidR="008047A6">
        <w:rPr>
          <w:rFonts w:ascii="Times New Roman" w:hAnsi="Times New Roman"/>
        </w:rPr>
        <w:t>;</w:t>
      </w:r>
      <w:r>
        <w:rPr>
          <w:rFonts w:ascii="Times New Roman" w:hAnsi="Times New Roman"/>
        </w:rPr>
        <w:t xml:space="preserve"> coordinadores</w:t>
      </w:r>
      <w:r w:rsidR="008047A6">
        <w:rPr>
          <w:rFonts w:ascii="Times New Roman" w:hAnsi="Times New Roman"/>
        </w:rPr>
        <w:t>;</w:t>
      </w:r>
      <w:r>
        <w:rPr>
          <w:rFonts w:ascii="Times New Roman" w:hAnsi="Times New Roman"/>
        </w:rPr>
        <w:t xml:space="preserve"> rectores de colegios privados</w:t>
      </w:r>
      <w:r w:rsidR="008047A6">
        <w:rPr>
          <w:rFonts w:ascii="Times New Roman" w:hAnsi="Times New Roman"/>
        </w:rPr>
        <w:t>;</w:t>
      </w:r>
      <w:r>
        <w:rPr>
          <w:rFonts w:ascii="Times New Roman" w:hAnsi="Times New Roman"/>
        </w:rPr>
        <w:t xml:space="preserve"> estudiantes</w:t>
      </w:r>
      <w:r w:rsidR="008047A6">
        <w:rPr>
          <w:rFonts w:ascii="Times New Roman" w:hAnsi="Times New Roman"/>
        </w:rPr>
        <w:t>;</w:t>
      </w:r>
      <w:r>
        <w:rPr>
          <w:rFonts w:ascii="Times New Roman" w:hAnsi="Times New Roman"/>
        </w:rPr>
        <w:t xml:space="preserve"> maestros y maestras</w:t>
      </w:r>
      <w:r w:rsidR="008047A6">
        <w:rPr>
          <w:rFonts w:ascii="Times New Roman" w:hAnsi="Times New Roman"/>
        </w:rPr>
        <w:t>;</w:t>
      </w:r>
      <w:r>
        <w:rPr>
          <w:rFonts w:ascii="Times New Roman" w:hAnsi="Times New Roman"/>
        </w:rPr>
        <w:t xml:space="preserve"> empresarios y/o sector productivo</w:t>
      </w:r>
      <w:r w:rsidR="008047A6">
        <w:rPr>
          <w:rFonts w:ascii="Times New Roman" w:hAnsi="Times New Roman"/>
        </w:rPr>
        <w:t>;</w:t>
      </w:r>
      <w:r>
        <w:rPr>
          <w:rFonts w:ascii="Times New Roman" w:hAnsi="Times New Roman"/>
        </w:rPr>
        <w:t xml:space="preserve"> egresados</w:t>
      </w:r>
      <w:r w:rsidR="008047A6">
        <w:rPr>
          <w:rFonts w:ascii="Times New Roman" w:hAnsi="Times New Roman"/>
        </w:rPr>
        <w:t>;</w:t>
      </w:r>
      <w:r>
        <w:rPr>
          <w:rFonts w:ascii="Times New Roman" w:hAnsi="Times New Roman"/>
        </w:rPr>
        <w:t xml:space="preserve"> administrativos</w:t>
      </w:r>
      <w:r w:rsidR="008047A6">
        <w:rPr>
          <w:rFonts w:ascii="Times New Roman" w:hAnsi="Times New Roman"/>
        </w:rPr>
        <w:t xml:space="preserve">; </w:t>
      </w:r>
      <w:r>
        <w:rPr>
          <w:rFonts w:ascii="Times New Roman" w:hAnsi="Times New Roman"/>
        </w:rPr>
        <w:t>orientadores; facultades de educación; institutos de educación superior técnica y tecnológica; y centros de investigación de educativa y pedagógica. En las localidades se pondrán en marcha las diez primeras mesas.</w:t>
      </w:r>
    </w:p>
    <w:p w:rsidR="00DC6C4F" w:rsidRPr="00C626A8" w:rsidRDefault="0047185F" w:rsidP="005A5B0C">
      <w:pPr>
        <w:jc w:val="both"/>
        <w:rPr>
          <w:rFonts w:ascii="Times New Roman" w:hAnsi="Times New Roman" w:cs="Arial"/>
          <w:sz w:val="36"/>
          <w:szCs w:val="36"/>
        </w:rPr>
      </w:pPr>
      <w:r>
        <w:rPr>
          <w:rFonts w:ascii="Times New Roman" w:hAnsi="Times New Roman" w:cs="Arial"/>
          <w:sz w:val="36"/>
          <w:szCs w:val="36"/>
        </w:rPr>
        <w:br w:type="page"/>
      </w:r>
    </w:p>
    <w:p w:rsidR="005A5B0C" w:rsidRPr="00BA20B4" w:rsidRDefault="005A5B0C" w:rsidP="005A5B0C">
      <w:pPr>
        <w:pStyle w:val="Ttulo1"/>
        <w:spacing w:before="0"/>
        <w:jc w:val="both"/>
        <w:rPr>
          <w:rFonts w:ascii="Times New Roman" w:hAnsi="Times New Roman"/>
        </w:rPr>
      </w:pPr>
      <w:bookmarkStart w:id="12" w:name="_Toc334449000"/>
      <w:bookmarkStart w:id="13" w:name="_Toc362358037"/>
      <w:r w:rsidRPr="00BA20B4">
        <w:rPr>
          <w:rFonts w:ascii="Times New Roman" w:hAnsi="Times New Roman"/>
        </w:rPr>
        <w:lastRenderedPageBreak/>
        <w:t>2. DIAGNÓSTICO</w:t>
      </w:r>
      <w:bookmarkEnd w:id="12"/>
      <w:bookmarkEnd w:id="13"/>
    </w:p>
    <w:p w:rsidR="00D61650" w:rsidRPr="00BA20B4" w:rsidRDefault="00D61650" w:rsidP="005A5B0C">
      <w:pPr>
        <w:pStyle w:val="Default"/>
        <w:jc w:val="both"/>
        <w:rPr>
          <w:rFonts w:ascii="Times New Roman" w:hAnsi="Times New Roman"/>
          <w:bCs/>
          <w:sz w:val="22"/>
          <w:szCs w:val="22"/>
        </w:rPr>
      </w:pPr>
    </w:p>
    <w:p w:rsidR="0023653A" w:rsidRDefault="005A5B0C" w:rsidP="005A5B0C">
      <w:pPr>
        <w:pStyle w:val="Default"/>
        <w:jc w:val="both"/>
        <w:rPr>
          <w:rFonts w:ascii="Times New Roman" w:hAnsi="Times New Roman"/>
          <w:bCs/>
          <w:szCs w:val="22"/>
        </w:rPr>
      </w:pPr>
      <w:r w:rsidRPr="00BA20B4">
        <w:rPr>
          <w:rFonts w:ascii="Times New Roman" w:hAnsi="Times New Roman"/>
          <w:bCs/>
          <w:szCs w:val="22"/>
        </w:rPr>
        <w:t xml:space="preserve">Este capítulo presenta el análisis de la situación de la educación en la ciudad teniendo como referente los objetivos prioritarios establecidos en el Plan de Desarrollo Bogotá Humana. </w:t>
      </w:r>
      <w:r w:rsidR="0023653A" w:rsidRPr="0023653A">
        <w:rPr>
          <w:rFonts w:ascii="Times New Roman" w:hAnsi="Times New Roman"/>
          <w:bCs/>
          <w:szCs w:val="22"/>
          <w:lang w:val="es-ES_tradnl"/>
        </w:rPr>
        <w:t>De acuerdo con estudios internacionales y nacionales, los niveles de aprendizaje dependen de factores relacionados con los estudiantes, con los colegios y con la organización general del sistema educativo. En el caso de los estudiantes, se han señalado características como las condiciones o antecedentes familiares, en especial los ingresos y la educación de los padres, la participación de los padres en el proceso educativo de los hijos, la demora en ingresar a la educación formal, la asistencia a programas de educación de la primera infancia, e incluso diferencias según sexo. En el caso del colegio se han planteado como factores incidentes la calidad de los profesores y su dedicación en términos del cumplimiento de jornadas y horarios, la calidad de los programas de estudios y de la pedagogía, los recursos del establecimiento en cuanto a textos y materiales didácticos. Estos factores se han identificado también en Colombia y se han precisado algunos como el ausentismo y el trabajo infantil o la distancia del hogar al colegio</w:t>
      </w:r>
      <w:r w:rsidR="00252646">
        <w:rPr>
          <w:rStyle w:val="Refdenotaalpie"/>
          <w:rFonts w:ascii="Times New Roman" w:hAnsi="Times New Roman"/>
        </w:rPr>
        <w:footnoteReference w:id="44"/>
      </w:r>
      <w:r w:rsidR="0023653A" w:rsidRPr="0023653A">
        <w:rPr>
          <w:rFonts w:ascii="Times New Roman" w:hAnsi="Times New Roman"/>
          <w:bCs/>
          <w:szCs w:val="22"/>
          <w:lang w:val="es-ES_tradnl"/>
        </w:rPr>
        <w:t xml:space="preserve">. </w:t>
      </w:r>
    </w:p>
    <w:p w:rsidR="0023653A" w:rsidRDefault="0023653A" w:rsidP="005A5B0C">
      <w:pPr>
        <w:pStyle w:val="Default"/>
        <w:jc w:val="both"/>
        <w:rPr>
          <w:rFonts w:ascii="Times New Roman" w:hAnsi="Times New Roman"/>
          <w:bCs/>
          <w:szCs w:val="22"/>
        </w:rPr>
      </w:pPr>
    </w:p>
    <w:p w:rsidR="00912DB2" w:rsidRDefault="00E4322A" w:rsidP="005A5B0C">
      <w:pPr>
        <w:pStyle w:val="Default"/>
        <w:jc w:val="both"/>
        <w:rPr>
          <w:rFonts w:ascii="Times New Roman" w:hAnsi="Times New Roman"/>
          <w:bCs/>
          <w:szCs w:val="22"/>
        </w:rPr>
      </w:pPr>
      <w:r w:rsidRPr="00BA20B4">
        <w:rPr>
          <w:rFonts w:ascii="Times New Roman" w:hAnsi="Times New Roman"/>
          <w:bCs/>
          <w:szCs w:val="22"/>
        </w:rPr>
        <w:t>En la gráfica siguiente</w:t>
      </w:r>
      <w:r w:rsidR="0023653A">
        <w:rPr>
          <w:rFonts w:ascii="Times New Roman" w:hAnsi="Times New Roman"/>
          <w:bCs/>
          <w:szCs w:val="22"/>
        </w:rPr>
        <w:t xml:space="preserve"> se presenta el árbol de problemas de la educación en Bogotá donde se identifican los problemas principales de aprendizaje, asociados a la calidad de la educación y al acceso de los niños, niñas y jóvenes y se plantean las cinco causas principales y sus causas específicas. Esta gráfica sintetiza el diagnóstico realizado por la Secretaría el cual sirve de base para estructurar la gestión de la entidad durante este período de gobierno</w:t>
      </w:r>
      <w:r w:rsidR="0076205D">
        <w:rPr>
          <w:rFonts w:ascii="Times New Roman" w:hAnsi="Times New Roman"/>
          <w:bCs/>
          <w:szCs w:val="22"/>
        </w:rPr>
        <w:t>.</w:t>
      </w:r>
    </w:p>
    <w:p w:rsidR="00326F69" w:rsidRPr="0076205D" w:rsidRDefault="00326F69" w:rsidP="00326F69">
      <w:pPr>
        <w:pStyle w:val="Ttulo2"/>
        <w:spacing w:before="0" w:after="0"/>
        <w:rPr>
          <w:lang w:val="es-CO"/>
        </w:rPr>
      </w:pPr>
    </w:p>
    <w:p w:rsidR="00C96C58" w:rsidRPr="00326F69" w:rsidRDefault="00C96C58" w:rsidP="00326F69">
      <w:pPr>
        <w:pStyle w:val="Ttulo2"/>
        <w:spacing w:before="0" w:after="0"/>
        <w:rPr>
          <w:i w:val="0"/>
        </w:rPr>
      </w:pPr>
      <w:bookmarkStart w:id="14" w:name="_Toc362358038"/>
      <w:r w:rsidRPr="00326F69">
        <w:rPr>
          <w:i w:val="0"/>
        </w:rPr>
        <w:t xml:space="preserve">2.1. Los problemas de </w:t>
      </w:r>
      <w:r w:rsidR="0023653A" w:rsidRPr="00326F69">
        <w:rPr>
          <w:i w:val="0"/>
        </w:rPr>
        <w:t>aprendizaje y de calidad de la educación</w:t>
      </w:r>
      <w:bookmarkEnd w:id="14"/>
    </w:p>
    <w:p w:rsidR="00C96C58" w:rsidRPr="00BA20B4" w:rsidRDefault="00C96C58" w:rsidP="00C96C58">
      <w:pPr>
        <w:jc w:val="both"/>
        <w:rPr>
          <w:rFonts w:ascii="Times New Roman" w:hAnsi="Times New Roman"/>
        </w:rPr>
      </w:pPr>
    </w:p>
    <w:p w:rsidR="0047185F" w:rsidRDefault="00C96C58" w:rsidP="00C96C58">
      <w:pPr>
        <w:jc w:val="both"/>
        <w:rPr>
          <w:rFonts w:ascii="Times New Roman" w:hAnsi="Times New Roman"/>
        </w:rPr>
      </w:pPr>
      <w:r>
        <w:rPr>
          <w:rFonts w:ascii="Times New Roman" w:hAnsi="Times New Roman"/>
        </w:rPr>
        <w:t>E</w:t>
      </w:r>
      <w:r w:rsidRPr="00BA20B4">
        <w:rPr>
          <w:rFonts w:ascii="Times New Roman" w:hAnsi="Times New Roman"/>
        </w:rPr>
        <w:t>l sistema educativo debe</w:t>
      </w:r>
      <w:r w:rsidR="00CF673F">
        <w:rPr>
          <w:rFonts w:ascii="Times New Roman" w:hAnsi="Times New Roman"/>
        </w:rPr>
        <w:t xml:space="preserve"> </w:t>
      </w:r>
      <w:r w:rsidRPr="00BA20B4">
        <w:rPr>
          <w:rFonts w:ascii="Times New Roman" w:hAnsi="Times New Roman"/>
        </w:rPr>
        <w:t>contribuir</w:t>
      </w:r>
      <w:r>
        <w:rPr>
          <w:rStyle w:val="Refdenotaalpie"/>
          <w:rFonts w:ascii="Times New Roman" w:hAnsi="Times New Roman"/>
        </w:rPr>
        <w:footnoteReference w:id="45"/>
      </w:r>
      <w:r>
        <w:rPr>
          <w:rFonts w:ascii="Times New Roman" w:hAnsi="Times New Roman"/>
        </w:rPr>
        <w:t xml:space="preserve"> a formar</w:t>
      </w:r>
      <w:r w:rsidRPr="00BA20B4">
        <w:rPr>
          <w:rFonts w:ascii="Times New Roman" w:hAnsi="Times New Roman"/>
        </w:rPr>
        <w:t xml:space="preserve"> a una población con un </w:t>
      </w:r>
      <w:r>
        <w:rPr>
          <w:rFonts w:ascii="Times New Roman" w:hAnsi="Times New Roman"/>
        </w:rPr>
        <w:t xml:space="preserve">amplio nivel </w:t>
      </w:r>
      <w:r w:rsidRPr="00BA20B4">
        <w:rPr>
          <w:rFonts w:ascii="Times New Roman" w:hAnsi="Times New Roman"/>
        </w:rPr>
        <w:t>de conocimiento y capacidad de análisis</w:t>
      </w:r>
      <w:r w:rsidR="0050207E">
        <w:rPr>
          <w:rFonts w:ascii="Times New Roman" w:hAnsi="Times New Roman"/>
        </w:rPr>
        <w:t>;</w:t>
      </w:r>
      <w:r w:rsidR="00CF673F">
        <w:rPr>
          <w:rFonts w:ascii="Times New Roman" w:hAnsi="Times New Roman"/>
        </w:rPr>
        <w:t xml:space="preserve"> </w:t>
      </w:r>
      <w:r w:rsidR="0050207E" w:rsidRPr="00BA20B4">
        <w:rPr>
          <w:rFonts w:ascii="Times New Roman" w:hAnsi="Times New Roman"/>
        </w:rPr>
        <w:t>respetuosa de los derechos humanos</w:t>
      </w:r>
      <w:r w:rsidR="0050207E">
        <w:rPr>
          <w:rFonts w:ascii="Times New Roman" w:hAnsi="Times New Roman"/>
        </w:rPr>
        <w:t>,</w:t>
      </w:r>
      <w:r w:rsidR="0050207E" w:rsidRPr="00BA20B4">
        <w:rPr>
          <w:rFonts w:ascii="Times New Roman" w:hAnsi="Times New Roman"/>
        </w:rPr>
        <w:t xml:space="preserve"> de los principios democráticos y de las normas</w:t>
      </w:r>
      <w:r w:rsidR="0050207E">
        <w:rPr>
          <w:rFonts w:ascii="Times New Roman" w:hAnsi="Times New Roman"/>
        </w:rPr>
        <w:t>; participativa;</w:t>
      </w:r>
      <w:r w:rsidR="00CF673F">
        <w:rPr>
          <w:rFonts w:ascii="Times New Roman" w:hAnsi="Times New Roman"/>
        </w:rPr>
        <w:t xml:space="preserve"> </w:t>
      </w:r>
      <w:r w:rsidRPr="00BA20B4">
        <w:rPr>
          <w:rFonts w:ascii="Times New Roman" w:hAnsi="Times New Roman"/>
        </w:rPr>
        <w:t xml:space="preserve">con </w:t>
      </w:r>
      <w:r>
        <w:rPr>
          <w:rFonts w:ascii="Times New Roman" w:hAnsi="Times New Roman"/>
        </w:rPr>
        <w:t>habilidades</w:t>
      </w:r>
      <w:r w:rsidRPr="00BA20B4">
        <w:rPr>
          <w:rFonts w:ascii="Times New Roman" w:hAnsi="Times New Roman"/>
        </w:rPr>
        <w:t xml:space="preserve"> para la práctica del trabajo</w:t>
      </w:r>
      <w:r w:rsidR="0050207E">
        <w:rPr>
          <w:rFonts w:ascii="Times New Roman" w:hAnsi="Times New Roman"/>
        </w:rPr>
        <w:t>;</w:t>
      </w:r>
      <w:r w:rsidRPr="00BA20B4">
        <w:rPr>
          <w:rFonts w:ascii="Times New Roman" w:hAnsi="Times New Roman"/>
        </w:rPr>
        <w:t xml:space="preserve"> conocedora y practicante del arte y el deporte, consciente de la importancia del ambiente y de l</w:t>
      </w:r>
      <w:r>
        <w:rPr>
          <w:rFonts w:ascii="Times New Roman" w:hAnsi="Times New Roman"/>
        </w:rPr>
        <w:t>o</w:t>
      </w:r>
      <w:r w:rsidRPr="00BA20B4">
        <w:rPr>
          <w:rFonts w:ascii="Times New Roman" w:hAnsi="Times New Roman"/>
        </w:rPr>
        <w:t xml:space="preserve">s </w:t>
      </w:r>
      <w:r>
        <w:rPr>
          <w:rFonts w:ascii="Times New Roman" w:hAnsi="Times New Roman"/>
        </w:rPr>
        <w:t>hábitos</w:t>
      </w:r>
      <w:r w:rsidRPr="00BA20B4">
        <w:rPr>
          <w:rFonts w:ascii="Times New Roman" w:hAnsi="Times New Roman"/>
        </w:rPr>
        <w:t xml:space="preserve"> saludables. La información</w:t>
      </w:r>
      <w:r w:rsidR="00CF673F">
        <w:rPr>
          <w:rFonts w:ascii="Times New Roman" w:hAnsi="Times New Roman"/>
        </w:rPr>
        <w:t xml:space="preserve"> </w:t>
      </w:r>
      <w:r w:rsidRPr="00BA20B4">
        <w:rPr>
          <w:rFonts w:ascii="Times New Roman" w:hAnsi="Times New Roman"/>
        </w:rPr>
        <w:t xml:space="preserve">disponible, indica que </w:t>
      </w:r>
      <w:r w:rsidR="0050207E">
        <w:rPr>
          <w:rFonts w:ascii="Times New Roman" w:hAnsi="Times New Roman"/>
        </w:rPr>
        <w:t xml:space="preserve">pese a que </w:t>
      </w:r>
      <w:r>
        <w:rPr>
          <w:rFonts w:ascii="Times New Roman" w:hAnsi="Times New Roman"/>
        </w:rPr>
        <w:t xml:space="preserve">ha aumentado el promedio de años de educación formal, </w:t>
      </w:r>
      <w:r w:rsidR="001737C4">
        <w:rPr>
          <w:rFonts w:ascii="Times New Roman" w:hAnsi="Times New Roman"/>
        </w:rPr>
        <w:t xml:space="preserve">a que </w:t>
      </w:r>
      <w:r>
        <w:rPr>
          <w:rFonts w:ascii="Times New Roman" w:hAnsi="Times New Roman"/>
        </w:rPr>
        <w:t>la tasa de alfabetismo es alta</w:t>
      </w:r>
      <w:r>
        <w:rPr>
          <w:rStyle w:val="Refdenotaalpie"/>
          <w:rFonts w:ascii="Times New Roman" w:hAnsi="Times New Roman"/>
        </w:rPr>
        <w:footnoteReference w:id="46"/>
      </w:r>
      <w:r w:rsidRPr="00BA20B4">
        <w:rPr>
          <w:rFonts w:ascii="Times New Roman" w:hAnsi="Times New Roman"/>
        </w:rPr>
        <w:t xml:space="preserve">, </w:t>
      </w:r>
      <w:r w:rsidR="001737C4">
        <w:rPr>
          <w:rFonts w:ascii="Times New Roman" w:hAnsi="Times New Roman"/>
        </w:rPr>
        <w:t xml:space="preserve">a que las tasas de asistencia y cobertura son altas </w:t>
      </w:r>
      <w:r>
        <w:rPr>
          <w:rFonts w:ascii="Times New Roman" w:hAnsi="Times New Roman"/>
        </w:rPr>
        <w:t xml:space="preserve">y </w:t>
      </w:r>
      <w:r w:rsidR="001737C4">
        <w:rPr>
          <w:rFonts w:ascii="Times New Roman" w:hAnsi="Times New Roman"/>
        </w:rPr>
        <w:t xml:space="preserve">a que </w:t>
      </w:r>
      <w:r>
        <w:rPr>
          <w:rFonts w:ascii="Times New Roman" w:hAnsi="Times New Roman"/>
        </w:rPr>
        <w:t xml:space="preserve">se han presentando mejoramientos en los resultados de las pruebas de aprendizaje, </w:t>
      </w:r>
      <w:r w:rsidR="00640E85">
        <w:rPr>
          <w:rFonts w:ascii="Times New Roman" w:hAnsi="Times New Roman"/>
        </w:rPr>
        <w:t>todavía los niveles</w:t>
      </w:r>
      <w:r w:rsidR="001737C4">
        <w:rPr>
          <w:rFonts w:ascii="Times New Roman" w:hAnsi="Times New Roman"/>
        </w:rPr>
        <w:t xml:space="preserve"> educativos</w:t>
      </w:r>
      <w:r w:rsidR="00640E85">
        <w:rPr>
          <w:rFonts w:ascii="Times New Roman" w:hAnsi="Times New Roman"/>
        </w:rPr>
        <w:t xml:space="preserve"> son insuficientes. </w:t>
      </w:r>
    </w:p>
    <w:p w:rsidR="00912DB2" w:rsidRPr="00BA20B4" w:rsidRDefault="00766385" w:rsidP="005A5B0C">
      <w:pPr>
        <w:pStyle w:val="Default"/>
        <w:jc w:val="both"/>
        <w:rPr>
          <w:rFonts w:ascii="Times New Roman" w:hAnsi="Times New Roman"/>
          <w:bCs/>
          <w:szCs w:val="22"/>
        </w:rPr>
      </w:pPr>
      <w:r w:rsidRPr="00766385">
        <w:rPr>
          <w:rFonts w:ascii="Times New Roman" w:hAnsi="Times New Roman"/>
          <w:bCs/>
          <w:noProof/>
          <w:szCs w:val="22"/>
          <w:lang w:val="es-ES" w:eastAsia="es-ES"/>
        </w:rPr>
        <w:lastRenderedPageBreak/>
        <w:drawing>
          <wp:inline distT="0" distB="0" distL="0" distR="0">
            <wp:extent cx="5486400" cy="8020050"/>
            <wp:effectExtent l="0" t="0" r="0" b="0"/>
            <wp:docPr id="3"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D3947" w:rsidRDefault="00CD3947" w:rsidP="00CD3947">
      <w:pPr>
        <w:jc w:val="both"/>
        <w:rPr>
          <w:rFonts w:ascii="Times New Roman" w:hAnsi="Times New Roman"/>
        </w:rPr>
      </w:pPr>
    </w:p>
    <w:p w:rsidR="0047185F" w:rsidRDefault="00DB3F9F" w:rsidP="005A5B0C">
      <w:pPr>
        <w:autoSpaceDE w:val="0"/>
        <w:autoSpaceDN w:val="0"/>
        <w:adjustRightInd w:val="0"/>
        <w:jc w:val="both"/>
        <w:rPr>
          <w:rFonts w:ascii="Times New Roman" w:hAnsi="Times New Roman" w:cs="Arial"/>
          <w:szCs w:val="23"/>
          <w:lang w:val="es-ES"/>
        </w:rPr>
      </w:pPr>
      <w:r>
        <w:rPr>
          <w:rFonts w:ascii="Times New Roman" w:hAnsi="Times New Roman" w:cs="Arial"/>
          <w:lang w:eastAsia="es-ES"/>
        </w:rPr>
        <w:t>L</w:t>
      </w:r>
      <w:r w:rsidR="001F3E03" w:rsidRPr="00BA20B4">
        <w:rPr>
          <w:rFonts w:ascii="Times New Roman" w:hAnsi="Times New Roman" w:cs="Arial"/>
          <w:lang w:eastAsia="es-ES"/>
        </w:rPr>
        <w:t>os resultados de</w:t>
      </w:r>
      <w:r w:rsidR="00CF673F">
        <w:rPr>
          <w:rFonts w:ascii="Times New Roman" w:hAnsi="Times New Roman" w:cs="Arial"/>
          <w:lang w:eastAsia="es-ES"/>
        </w:rPr>
        <w:t xml:space="preserve"> </w:t>
      </w:r>
      <w:r w:rsidR="001F3E03" w:rsidRPr="00BA20B4">
        <w:rPr>
          <w:rFonts w:ascii="Times New Roman" w:hAnsi="Times New Roman" w:cs="Arial"/>
          <w:lang w:eastAsia="es-ES"/>
        </w:rPr>
        <w:t>l</w:t>
      </w:r>
      <w:r w:rsidR="00640E85">
        <w:rPr>
          <w:rFonts w:ascii="Times New Roman" w:hAnsi="Times New Roman" w:cs="Arial"/>
          <w:lang w:eastAsia="es-ES"/>
        </w:rPr>
        <w:t>as</w:t>
      </w:r>
      <w:r w:rsidR="00CF673F">
        <w:rPr>
          <w:rFonts w:ascii="Times New Roman" w:hAnsi="Times New Roman" w:cs="Arial"/>
          <w:lang w:eastAsia="es-ES"/>
        </w:rPr>
        <w:t xml:space="preserve"> </w:t>
      </w:r>
      <w:r w:rsidR="00640E85">
        <w:rPr>
          <w:rFonts w:ascii="Times New Roman" w:hAnsi="Times New Roman" w:cs="Arial"/>
          <w:lang w:eastAsia="es-ES"/>
        </w:rPr>
        <w:t>pruebas</w:t>
      </w:r>
      <w:r w:rsidR="0023653A">
        <w:rPr>
          <w:rFonts w:ascii="Times New Roman" w:hAnsi="Times New Roman" w:cs="Arial"/>
          <w:lang w:eastAsia="es-ES"/>
        </w:rPr>
        <w:t xml:space="preserve"> de aprendizaje</w:t>
      </w:r>
      <w:r w:rsidR="00CF673F">
        <w:rPr>
          <w:rFonts w:ascii="Times New Roman" w:hAnsi="Times New Roman" w:cs="Arial"/>
          <w:lang w:eastAsia="es-ES"/>
        </w:rPr>
        <w:t xml:space="preserve"> </w:t>
      </w:r>
      <w:r w:rsidR="001F3E03" w:rsidRPr="00BA20B4">
        <w:rPr>
          <w:rFonts w:ascii="Times New Roman" w:hAnsi="Times New Roman" w:cs="Arial"/>
          <w:lang w:eastAsia="es-ES"/>
        </w:rPr>
        <w:t>muestran problemas</w:t>
      </w:r>
      <w:r w:rsidR="005A5B0C" w:rsidRPr="00BA20B4">
        <w:rPr>
          <w:rFonts w:ascii="Times New Roman" w:hAnsi="Times New Roman" w:cs="Arial"/>
          <w:lang w:eastAsia="es-ES"/>
        </w:rPr>
        <w:t xml:space="preserve">. </w:t>
      </w:r>
      <w:r w:rsidR="001F3E03" w:rsidRPr="00BA20B4">
        <w:rPr>
          <w:rFonts w:ascii="Times New Roman" w:hAnsi="Times New Roman" w:cs="Arial"/>
          <w:lang w:eastAsia="es-ES"/>
        </w:rPr>
        <w:t>L</w:t>
      </w:r>
      <w:r w:rsidR="005A5B0C" w:rsidRPr="00BA20B4">
        <w:rPr>
          <w:rFonts w:ascii="Times New Roman" w:hAnsi="Times New Roman" w:cs="Arial"/>
          <w:lang w:eastAsia="es-ES"/>
        </w:rPr>
        <w:t xml:space="preserve">os </w:t>
      </w:r>
      <w:r w:rsidR="005A5B0C" w:rsidRPr="00BA20B4">
        <w:rPr>
          <w:rFonts w:ascii="Times New Roman" w:hAnsi="Times New Roman" w:cs="Arial"/>
          <w:szCs w:val="23"/>
          <w:lang w:val="es-ES"/>
        </w:rPr>
        <w:t>estudiantes</w:t>
      </w:r>
      <w:r w:rsidR="00C45C9B">
        <w:rPr>
          <w:rFonts w:ascii="Times New Roman" w:hAnsi="Times New Roman" w:cs="Arial"/>
          <w:szCs w:val="23"/>
          <w:lang w:val="es-ES"/>
        </w:rPr>
        <w:t xml:space="preserve"> de colegios públicos y privados</w:t>
      </w:r>
      <w:r w:rsidR="005A5B0C" w:rsidRPr="00BA20B4">
        <w:rPr>
          <w:rFonts w:ascii="Times New Roman" w:hAnsi="Times New Roman" w:cs="Arial"/>
          <w:szCs w:val="23"/>
          <w:lang w:val="es-ES"/>
        </w:rPr>
        <w:t xml:space="preserve"> de Bogotá, Medellín y Manizales no alcanza</w:t>
      </w:r>
      <w:r w:rsidR="001F3E03" w:rsidRPr="00BA20B4">
        <w:rPr>
          <w:rFonts w:ascii="Times New Roman" w:hAnsi="Times New Roman" w:cs="Arial"/>
          <w:szCs w:val="23"/>
          <w:lang w:val="es-ES"/>
        </w:rPr>
        <w:t>ron en la pruebas PISA</w:t>
      </w:r>
      <w:r w:rsidR="009B6132">
        <w:rPr>
          <w:rStyle w:val="Refdenotaalpie"/>
          <w:rFonts w:ascii="Times New Roman" w:hAnsi="Times New Roman" w:cs="Arial"/>
          <w:szCs w:val="23"/>
          <w:lang w:val="es-ES"/>
        </w:rPr>
        <w:footnoteReference w:id="47"/>
      </w:r>
      <w:r w:rsidR="001F3E03" w:rsidRPr="00BA20B4">
        <w:rPr>
          <w:rFonts w:ascii="Times New Roman" w:hAnsi="Times New Roman" w:cs="Arial"/>
          <w:szCs w:val="23"/>
          <w:lang w:val="es-ES"/>
        </w:rPr>
        <w:t xml:space="preserve"> 2009</w:t>
      </w:r>
      <w:r w:rsidR="005A5B0C" w:rsidRPr="00BA20B4">
        <w:rPr>
          <w:rFonts w:ascii="Times New Roman" w:hAnsi="Times New Roman" w:cs="Arial"/>
          <w:szCs w:val="23"/>
          <w:lang w:val="es-ES"/>
        </w:rPr>
        <w:t xml:space="preserve"> los </w:t>
      </w:r>
      <w:r w:rsidR="005A5B0C" w:rsidRPr="00BA20B4">
        <w:rPr>
          <w:rStyle w:val="Textoennegrita"/>
          <w:rFonts w:ascii="Times New Roman" w:hAnsi="Times New Roman" w:cs="Arial"/>
          <w:b w:val="0"/>
          <w:szCs w:val="23"/>
          <w:lang w:val="es-ES"/>
        </w:rPr>
        <w:t>estándares mínimos en lenguaje, ciencias y matemáticas</w:t>
      </w:r>
      <w:r w:rsidR="005A5B0C" w:rsidRPr="00BA20B4">
        <w:rPr>
          <w:rFonts w:ascii="Times New Roman" w:hAnsi="Times New Roman" w:cs="Arial"/>
          <w:b/>
          <w:szCs w:val="23"/>
          <w:lang w:val="es-ES"/>
        </w:rPr>
        <w:t>.</w:t>
      </w:r>
      <w:r w:rsidR="005A5B0C" w:rsidRPr="00BA20B4">
        <w:rPr>
          <w:rFonts w:ascii="Times New Roman" w:hAnsi="Times New Roman" w:cs="Arial"/>
          <w:szCs w:val="23"/>
          <w:lang w:val="es-ES"/>
        </w:rPr>
        <w:t xml:space="preserve"> El promedio de estas tres ciudades dista mucho de </w:t>
      </w:r>
      <w:r w:rsidR="00FA47DD" w:rsidRPr="00BA20B4">
        <w:rPr>
          <w:rFonts w:ascii="Times New Roman" w:hAnsi="Times New Roman" w:cs="Arial"/>
          <w:szCs w:val="23"/>
          <w:lang w:val="es-ES"/>
        </w:rPr>
        <w:t xml:space="preserve">las pautas </w:t>
      </w:r>
      <w:r w:rsidR="005A5B0C" w:rsidRPr="00BA20B4">
        <w:rPr>
          <w:rFonts w:ascii="Times New Roman" w:hAnsi="Times New Roman" w:cs="Arial"/>
          <w:szCs w:val="23"/>
          <w:lang w:val="es-ES"/>
        </w:rPr>
        <w:t>establecid</w:t>
      </w:r>
      <w:r w:rsidR="00FA47DD" w:rsidRPr="00BA20B4">
        <w:rPr>
          <w:rFonts w:ascii="Times New Roman" w:hAnsi="Times New Roman" w:cs="Arial"/>
          <w:szCs w:val="23"/>
          <w:lang w:val="es-ES"/>
        </w:rPr>
        <w:t>a</w:t>
      </w:r>
      <w:r w:rsidR="005A5B0C" w:rsidRPr="00BA20B4">
        <w:rPr>
          <w:rFonts w:ascii="Times New Roman" w:hAnsi="Times New Roman" w:cs="Arial"/>
          <w:szCs w:val="23"/>
          <w:lang w:val="es-ES"/>
        </w:rPr>
        <w:t xml:space="preserve">s por la </w:t>
      </w:r>
      <w:r w:rsidR="005A5B0C" w:rsidRPr="00BA20B4">
        <w:rPr>
          <w:rStyle w:val="Textoennegrita"/>
          <w:rFonts w:ascii="Times New Roman" w:hAnsi="Times New Roman" w:cs="Arial"/>
          <w:b w:val="0"/>
          <w:szCs w:val="23"/>
          <w:lang w:val="es-ES"/>
        </w:rPr>
        <w:t>OCDE</w:t>
      </w:r>
      <w:r w:rsidR="005A5B0C" w:rsidRPr="00BA20B4">
        <w:rPr>
          <w:rFonts w:ascii="Times New Roman" w:hAnsi="Times New Roman" w:cs="Arial"/>
          <w:szCs w:val="23"/>
          <w:lang w:val="es-ES"/>
        </w:rPr>
        <w:t xml:space="preserve"> (Organización para la Cooperación y el Desarrollo Económico)</w:t>
      </w:r>
      <w:r w:rsidR="007E47C4">
        <w:rPr>
          <w:rFonts w:ascii="Times New Roman" w:hAnsi="Times New Roman" w:cs="Arial"/>
          <w:szCs w:val="23"/>
          <w:lang w:val="es-ES"/>
        </w:rPr>
        <w:t xml:space="preserve">, entidad </w:t>
      </w:r>
      <w:r w:rsidR="005A5B0C" w:rsidRPr="00BA20B4">
        <w:rPr>
          <w:rFonts w:ascii="Times New Roman" w:hAnsi="Times New Roman" w:cs="Arial"/>
          <w:szCs w:val="23"/>
          <w:lang w:val="es-ES"/>
        </w:rPr>
        <w:t>creador</w:t>
      </w:r>
      <w:r w:rsidR="007E47C4">
        <w:rPr>
          <w:rFonts w:ascii="Times New Roman" w:hAnsi="Times New Roman" w:cs="Arial"/>
          <w:szCs w:val="23"/>
          <w:lang w:val="es-ES"/>
        </w:rPr>
        <w:t>a</w:t>
      </w:r>
      <w:r w:rsidR="005A5B0C" w:rsidRPr="00BA20B4">
        <w:rPr>
          <w:rFonts w:ascii="Times New Roman" w:hAnsi="Times New Roman" w:cs="Arial"/>
          <w:szCs w:val="23"/>
          <w:lang w:val="es-ES"/>
        </w:rPr>
        <w:t xml:space="preserve"> de la prueba</w:t>
      </w:r>
      <w:r w:rsidR="005A5B0C" w:rsidRPr="00BA20B4">
        <w:rPr>
          <w:rStyle w:val="Refdenotaalpie"/>
          <w:rFonts w:ascii="Times New Roman" w:hAnsi="Times New Roman" w:cs="Arial"/>
        </w:rPr>
        <w:footnoteReference w:id="48"/>
      </w:r>
      <w:r w:rsidR="005A5B0C" w:rsidRPr="00BA20B4">
        <w:rPr>
          <w:rFonts w:ascii="Times New Roman" w:hAnsi="Times New Roman" w:cs="Arial"/>
          <w:szCs w:val="23"/>
          <w:lang w:val="es-ES"/>
        </w:rPr>
        <w:t xml:space="preserve">. </w:t>
      </w:r>
    </w:p>
    <w:p w:rsidR="005A5B0C" w:rsidRPr="00BA20B4" w:rsidRDefault="005A5B0C" w:rsidP="005A5B0C">
      <w:pPr>
        <w:autoSpaceDE w:val="0"/>
        <w:autoSpaceDN w:val="0"/>
        <w:adjustRightInd w:val="0"/>
        <w:jc w:val="both"/>
        <w:rPr>
          <w:rFonts w:ascii="Times New Roman" w:hAnsi="Times New Roman" w:cs="Arial"/>
          <w:szCs w:val="23"/>
          <w:lang w:val="es-ES"/>
        </w:rPr>
      </w:pPr>
    </w:p>
    <w:p w:rsidR="00FA47DD" w:rsidRPr="0047185F" w:rsidRDefault="0047185F" w:rsidP="0047185F">
      <w:pPr>
        <w:autoSpaceDE w:val="0"/>
        <w:autoSpaceDN w:val="0"/>
        <w:adjustRightInd w:val="0"/>
        <w:jc w:val="center"/>
        <w:rPr>
          <w:rFonts w:ascii="Times New Roman" w:hAnsi="Times New Roman" w:cs="Arial"/>
          <w:b/>
          <w:szCs w:val="23"/>
          <w:lang w:val="es-ES"/>
        </w:rPr>
      </w:pPr>
      <w:r w:rsidRPr="0047185F">
        <w:rPr>
          <w:rFonts w:ascii="Times New Roman" w:hAnsi="Times New Roman" w:cs="Arial"/>
          <w:b/>
          <w:szCs w:val="23"/>
          <w:lang w:val="es-ES"/>
        </w:rPr>
        <w:t>Tabla 1</w:t>
      </w:r>
    </w:p>
    <w:tbl>
      <w:tblPr>
        <w:tblStyle w:val="Tablaconcuadrcula"/>
        <w:tblW w:w="0" w:type="auto"/>
        <w:tblInd w:w="1384" w:type="dxa"/>
        <w:tblLook w:val="04A0" w:firstRow="1" w:lastRow="0" w:firstColumn="1" w:lastColumn="0" w:noHBand="0" w:noVBand="1"/>
      </w:tblPr>
      <w:tblGrid>
        <w:gridCol w:w="2835"/>
        <w:gridCol w:w="3969"/>
      </w:tblGrid>
      <w:tr w:rsidR="00FA47DD" w:rsidRPr="00BA20B4">
        <w:tc>
          <w:tcPr>
            <w:tcW w:w="6804" w:type="dxa"/>
            <w:gridSpan w:val="2"/>
          </w:tcPr>
          <w:p w:rsidR="00FA47DD" w:rsidRPr="00BA20B4" w:rsidRDefault="00FA47DD" w:rsidP="00AD23BA">
            <w:pPr>
              <w:jc w:val="center"/>
              <w:rPr>
                <w:rFonts w:ascii="Times New Roman" w:hAnsi="Times New Roman" w:cs="Times New Roman"/>
                <w:b/>
                <w:sz w:val="24"/>
                <w:szCs w:val="24"/>
              </w:rPr>
            </w:pPr>
            <w:r w:rsidRPr="00BA20B4">
              <w:rPr>
                <w:rFonts w:ascii="Times New Roman" w:hAnsi="Times New Roman" w:cs="Times New Roman"/>
                <w:b/>
                <w:sz w:val="24"/>
                <w:szCs w:val="24"/>
              </w:rPr>
              <w:t>Pruebas PISA 2009</w:t>
            </w:r>
          </w:p>
          <w:p w:rsidR="00FA47DD" w:rsidRPr="00BA20B4" w:rsidRDefault="00FA47DD" w:rsidP="00AD23BA">
            <w:pPr>
              <w:jc w:val="center"/>
              <w:rPr>
                <w:rFonts w:ascii="Times New Roman" w:hAnsi="Times New Roman" w:cs="Times New Roman"/>
                <w:b/>
                <w:sz w:val="24"/>
                <w:szCs w:val="24"/>
              </w:rPr>
            </w:pPr>
          </w:p>
        </w:tc>
      </w:tr>
      <w:tr w:rsidR="00FA47DD" w:rsidRPr="00BA20B4">
        <w:tc>
          <w:tcPr>
            <w:tcW w:w="2835" w:type="dxa"/>
          </w:tcPr>
          <w:p w:rsidR="00FA47DD" w:rsidRPr="00BA20B4" w:rsidRDefault="00FA47DD" w:rsidP="00AD23BA">
            <w:pPr>
              <w:jc w:val="center"/>
              <w:rPr>
                <w:rFonts w:ascii="Times New Roman" w:hAnsi="Times New Roman" w:cs="Times New Roman"/>
                <w:sz w:val="24"/>
                <w:szCs w:val="24"/>
              </w:rPr>
            </w:pPr>
            <w:r w:rsidRPr="00BA20B4">
              <w:rPr>
                <w:rFonts w:ascii="Times New Roman" w:hAnsi="Times New Roman" w:cs="Times New Roman"/>
                <w:sz w:val="24"/>
                <w:szCs w:val="24"/>
              </w:rPr>
              <w:t>Área</w:t>
            </w:r>
          </w:p>
        </w:tc>
        <w:tc>
          <w:tcPr>
            <w:tcW w:w="3969" w:type="dxa"/>
          </w:tcPr>
          <w:p w:rsidR="00FA47DD" w:rsidRPr="00BA20B4" w:rsidRDefault="00FA47DD" w:rsidP="00AD23BA">
            <w:pPr>
              <w:jc w:val="center"/>
              <w:rPr>
                <w:rFonts w:ascii="Times New Roman" w:hAnsi="Times New Roman" w:cs="Times New Roman"/>
                <w:sz w:val="24"/>
                <w:szCs w:val="24"/>
              </w:rPr>
            </w:pPr>
            <w:r w:rsidRPr="00BA20B4">
              <w:rPr>
                <w:rFonts w:ascii="Times New Roman" w:hAnsi="Times New Roman" w:cs="Times New Roman"/>
                <w:sz w:val="24"/>
                <w:szCs w:val="24"/>
              </w:rPr>
              <w:t>Porcentaje de estudiantes de Bogotá con desempeño inferior*</w:t>
            </w:r>
          </w:p>
        </w:tc>
      </w:tr>
      <w:tr w:rsidR="00FA47DD" w:rsidRPr="00BA20B4">
        <w:tc>
          <w:tcPr>
            <w:tcW w:w="2835" w:type="dxa"/>
          </w:tcPr>
          <w:p w:rsidR="00FA47DD" w:rsidRPr="00BA20B4" w:rsidRDefault="00FA47DD" w:rsidP="00AD23BA">
            <w:pPr>
              <w:rPr>
                <w:rFonts w:ascii="Times New Roman" w:hAnsi="Times New Roman" w:cs="Times New Roman"/>
                <w:sz w:val="24"/>
                <w:szCs w:val="24"/>
              </w:rPr>
            </w:pPr>
            <w:r w:rsidRPr="00BA20B4">
              <w:rPr>
                <w:rFonts w:ascii="Times New Roman" w:hAnsi="Times New Roman" w:cs="Times New Roman"/>
                <w:sz w:val="24"/>
                <w:szCs w:val="24"/>
              </w:rPr>
              <w:t>Lenguaje</w:t>
            </w:r>
          </w:p>
        </w:tc>
        <w:tc>
          <w:tcPr>
            <w:tcW w:w="3969" w:type="dxa"/>
          </w:tcPr>
          <w:p w:rsidR="008E59EC" w:rsidRDefault="00FA47DD" w:rsidP="00AA006E">
            <w:pPr>
              <w:spacing w:before="2" w:after="2"/>
              <w:jc w:val="center"/>
              <w:rPr>
                <w:rFonts w:ascii="Times New Roman" w:hAnsi="Times New Roman" w:cs="Times New Roman"/>
                <w:color w:val="000000"/>
                <w:sz w:val="24"/>
                <w:szCs w:val="24"/>
                <w:lang w:val="es-ES_tradnl"/>
              </w:rPr>
            </w:pPr>
            <w:r w:rsidRPr="00BA20B4">
              <w:rPr>
                <w:rFonts w:ascii="Times New Roman" w:hAnsi="Times New Roman" w:cs="Times New Roman"/>
                <w:sz w:val="24"/>
                <w:szCs w:val="24"/>
              </w:rPr>
              <w:t>32%</w:t>
            </w:r>
          </w:p>
        </w:tc>
      </w:tr>
      <w:tr w:rsidR="00FA47DD" w:rsidRPr="00BA20B4">
        <w:tc>
          <w:tcPr>
            <w:tcW w:w="2835" w:type="dxa"/>
          </w:tcPr>
          <w:p w:rsidR="00FA47DD" w:rsidRPr="00BA20B4" w:rsidRDefault="00FA47DD" w:rsidP="00AD23BA">
            <w:pPr>
              <w:rPr>
                <w:rFonts w:ascii="Times New Roman" w:hAnsi="Times New Roman" w:cs="Times New Roman"/>
                <w:sz w:val="24"/>
                <w:szCs w:val="24"/>
              </w:rPr>
            </w:pPr>
            <w:r w:rsidRPr="00BA20B4">
              <w:rPr>
                <w:rFonts w:ascii="Times New Roman" w:hAnsi="Times New Roman" w:cs="Times New Roman"/>
                <w:sz w:val="24"/>
                <w:szCs w:val="24"/>
              </w:rPr>
              <w:t>Matemáticas</w:t>
            </w:r>
          </w:p>
        </w:tc>
        <w:tc>
          <w:tcPr>
            <w:tcW w:w="3969" w:type="dxa"/>
          </w:tcPr>
          <w:p w:rsidR="008E59EC" w:rsidRDefault="00FA47DD" w:rsidP="00AA006E">
            <w:pPr>
              <w:spacing w:before="2" w:after="2"/>
              <w:jc w:val="center"/>
              <w:rPr>
                <w:rFonts w:ascii="Times New Roman" w:hAnsi="Times New Roman" w:cs="Times New Roman"/>
                <w:color w:val="000000"/>
                <w:sz w:val="24"/>
                <w:szCs w:val="24"/>
                <w:lang w:val="es-ES_tradnl"/>
              </w:rPr>
            </w:pPr>
            <w:r w:rsidRPr="00BA20B4">
              <w:rPr>
                <w:rFonts w:ascii="Times New Roman" w:hAnsi="Times New Roman" w:cs="Times New Roman"/>
                <w:sz w:val="24"/>
                <w:szCs w:val="24"/>
              </w:rPr>
              <w:t>56%</w:t>
            </w:r>
          </w:p>
        </w:tc>
      </w:tr>
      <w:tr w:rsidR="00FA47DD" w:rsidRPr="00BA20B4">
        <w:tc>
          <w:tcPr>
            <w:tcW w:w="2835" w:type="dxa"/>
          </w:tcPr>
          <w:p w:rsidR="00FA47DD" w:rsidRPr="00BA20B4" w:rsidRDefault="00FA47DD" w:rsidP="00AD23BA">
            <w:pPr>
              <w:rPr>
                <w:rFonts w:ascii="Times New Roman" w:hAnsi="Times New Roman" w:cs="Times New Roman"/>
                <w:sz w:val="24"/>
                <w:szCs w:val="24"/>
              </w:rPr>
            </w:pPr>
            <w:r w:rsidRPr="00BA20B4">
              <w:rPr>
                <w:rFonts w:ascii="Times New Roman" w:hAnsi="Times New Roman" w:cs="Times New Roman"/>
                <w:sz w:val="24"/>
                <w:szCs w:val="24"/>
              </w:rPr>
              <w:t>Ciencias</w:t>
            </w:r>
          </w:p>
        </w:tc>
        <w:tc>
          <w:tcPr>
            <w:tcW w:w="3969" w:type="dxa"/>
          </w:tcPr>
          <w:p w:rsidR="008E59EC" w:rsidRDefault="00FA47DD" w:rsidP="00AA006E">
            <w:pPr>
              <w:spacing w:before="2" w:after="2"/>
              <w:jc w:val="center"/>
              <w:rPr>
                <w:rFonts w:ascii="Times New Roman" w:hAnsi="Times New Roman" w:cs="Times New Roman"/>
                <w:color w:val="000000"/>
                <w:sz w:val="24"/>
                <w:szCs w:val="24"/>
                <w:lang w:val="es-ES_tradnl"/>
              </w:rPr>
            </w:pPr>
            <w:r w:rsidRPr="00BA20B4">
              <w:rPr>
                <w:rFonts w:ascii="Times New Roman" w:hAnsi="Times New Roman" w:cs="Times New Roman"/>
                <w:sz w:val="24"/>
                <w:szCs w:val="24"/>
              </w:rPr>
              <w:t>39%</w:t>
            </w:r>
          </w:p>
        </w:tc>
      </w:tr>
    </w:tbl>
    <w:p w:rsidR="00FA47DD" w:rsidRPr="00BA20B4" w:rsidRDefault="00FA47DD" w:rsidP="00FA47DD">
      <w:pPr>
        <w:autoSpaceDE w:val="0"/>
        <w:autoSpaceDN w:val="0"/>
        <w:adjustRightInd w:val="0"/>
        <w:jc w:val="both"/>
        <w:rPr>
          <w:rFonts w:ascii="Times New Roman" w:hAnsi="Times New Roman" w:cs="Times New Roman"/>
          <w:sz w:val="20"/>
          <w:szCs w:val="20"/>
        </w:rPr>
      </w:pPr>
      <w:r w:rsidRPr="00BA20B4">
        <w:rPr>
          <w:rFonts w:ascii="Times New Roman" w:hAnsi="Times New Roman" w:cs="Arial"/>
          <w:szCs w:val="23"/>
          <w:lang w:val="es-ES"/>
        </w:rPr>
        <w:tab/>
      </w:r>
      <w:r w:rsidRPr="00BA20B4">
        <w:rPr>
          <w:rFonts w:ascii="Times New Roman" w:hAnsi="Times New Roman" w:cs="Arial"/>
          <w:szCs w:val="23"/>
          <w:lang w:val="es-ES"/>
        </w:rPr>
        <w:tab/>
      </w:r>
      <w:r w:rsidRPr="00BA20B4">
        <w:rPr>
          <w:rFonts w:ascii="Times New Roman" w:hAnsi="Times New Roman" w:cs="Arial"/>
          <w:sz w:val="20"/>
          <w:szCs w:val="20"/>
          <w:lang w:val="es-ES"/>
        </w:rPr>
        <w:t xml:space="preserve">* </w:t>
      </w:r>
      <w:r w:rsidRPr="00BA20B4">
        <w:rPr>
          <w:rFonts w:ascii="Times New Roman" w:hAnsi="Times New Roman" w:cs="Times New Roman"/>
          <w:sz w:val="20"/>
          <w:szCs w:val="20"/>
        </w:rPr>
        <w:t>Ubicados por debajo del nivel 2</w:t>
      </w:r>
    </w:p>
    <w:p w:rsidR="00E305F4" w:rsidRDefault="00491CDE">
      <w:pPr>
        <w:autoSpaceDE w:val="0"/>
        <w:autoSpaceDN w:val="0"/>
        <w:adjustRightInd w:val="0"/>
        <w:ind w:left="1416"/>
        <w:rPr>
          <w:rFonts w:ascii="Times New Roman" w:hAnsi="Times New Roman" w:cs="Times New Roman"/>
          <w:color w:val="000000"/>
          <w:sz w:val="16"/>
          <w:szCs w:val="20"/>
        </w:rPr>
      </w:pPr>
      <w:r w:rsidRPr="00491CDE">
        <w:rPr>
          <w:rFonts w:ascii="Times New Roman" w:hAnsi="Times New Roman" w:cs="Times New Roman"/>
          <w:color w:val="000000"/>
          <w:sz w:val="16"/>
          <w:szCs w:val="20"/>
        </w:rPr>
        <w:t>Fuente: SED (2011): Lo que dicen los resultados de las pruebas externas en Bogotá. Pp. 103-115.</w:t>
      </w:r>
    </w:p>
    <w:p w:rsidR="00FA47DD" w:rsidRPr="00BA20B4" w:rsidRDefault="00FA47DD" w:rsidP="00FA47DD">
      <w:pPr>
        <w:autoSpaceDE w:val="0"/>
        <w:autoSpaceDN w:val="0"/>
        <w:adjustRightInd w:val="0"/>
        <w:jc w:val="both"/>
        <w:rPr>
          <w:rFonts w:ascii="Times New Roman" w:hAnsi="Times New Roman" w:cs="Arial"/>
          <w:sz w:val="20"/>
          <w:szCs w:val="20"/>
        </w:rPr>
      </w:pPr>
    </w:p>
    <w:p w:rsidR="00FA47DD" w:rsidRPr="00BA20B4" w:rsidRDefault="00BB153E" w:rsidP="00FA47DD">
      <w:pPr>
        <w:autoSpaceDE w:val="0"/>
        <w:autoSpaceDN w:val="0"/>
        <w:adjustRightInd w:val="0"/>
        <w:jc w:val="both"/>
        <w:rPr>
          <w:rFonts w:ascii="Times New Roman" w:hAnsi="Times New Roman" w:cs="Times New Roman"/>
          <w:lang w:val="es-ES"/>
        </w:rPr>
      </w:pPr>
      <w:r>
        <w:rPr>
          <w:rFonts w:ascii="Times New Roman" w:hAnsi="Times New Roman" w:cs="Times New Roman"/>
          <w:lang w:val="es-ES"/>
        </w:rPr>
        <w:t xml:space="preserve">Bogotá </w:t>
      </w:r>
      <w:r w:rsidR="00D81BDF">
        <w:rPr>
          <w:rFonts w:ascii="Times New Roman" w:hAnsi="Times New Roman" w:cs="Times New Roman"/>
          <w:lang w:val="es-ES"/>
        </w:rPr>
        <w:t xml:space="preserve">presenta una mejora importante año a año en los resultados de las pruebas nacionales, y registra los </w:t>
      </w:r>
      <w:r>
        <w:rPr>
          <w:rFonts w:ascii="Times New Roman" w:hAnsi="Times New Roman" w:cs="Times New Roman"/>
          <w:lang w:val="es-ES"/>
        </w:rPr>
        <w:t xml:space="preserve">mejores resultados </w:t>
      </w:r>
      <w:r w:rsidR="00D81BDF">
        <w:rPr>
          <w:rFonts w:ascii="Times New Roman" w:hAnsi="Times New Roman" w:cs="Times New Roman"/>
          <w:lang w:val="es-ES"/>
        </w:rPr>
        <w:t xml:space="preserve">con respecto al </w:t>
      </w:r>
      <w:r>
        <w:rPr>
          <w:rFonts w:ascii="Times New Roman" w:hAnsi="Times New Roman" w:cs="Times New Roman"/>
          <w:lang w:val="es-ES"/>
        </w:rPr>
        <w:t>conjunto del país</w:t>
      </w:r>
      <w:r w:rsidR="00D81BDF">
        <w:rPr>
          <w:rFonts w:ascii="Times New Roman" w:hAnsi="Times New Roman" w:cs="Times New Roman"/>
          <w:lang w:val="es-ES"/>
        </w:rPr>
        <w:t>. No obstante,</w:t>
      </w:r>
      <w:r w:rsidR="006B015B">
        <w:rPr>
          <w:rFonts w:ascii="Times New Roman" w:hAnsi="Times New Roman" w:cs="Times New Roman"/>
          <w:lang w:val="es-ES"/>
        </w:rPr>
        <w:t xml:space="preserve"> </w:t>
      </w:r>
      <w:r>
        <w:rPr>
          <w:rFonts w:ascii="Times New Roman" w:hAnsi="Times New Roman" w:cs="Times New Roman"/>
          <w:lang w:val="es-ES"/>
        </w:rPr>
        <w:t xml:space="preserve">todavía </w:t>
      </w:r>
      <w:r w:rsidR="00D81BDF">
        <w:rPr>
          <w:rFonts w:ascii="Times New Roman" w:hAnsi="Times New Roman" w:cs="Times New Roman"/>
          <w:lang w:val="es-ES"/>
        </w:rPr>
        <w:t xml:space="preserve">hay </w:t>
      </w:r>
      <w:r>
        <w:rPr>
          <w:rFonts w:ascii="Times New Roman" w:hAnsi="Times New Roman" w:cs="Times New Roman"/>
          <w:lang w:val="es-ES"/>
        </w:rPr>
        <w:t>una proporción importante</w:t>
      </w:r>
      <w:r w:rsidR="00505C15">
        <w:rPr>
          <w:rFonts w:ascii="Times New Roman" w:hAnsi="Times New Roman" w:cs="Times New Roman"/>
          <w:lang w:val="es-ES"/>
        </w:rPr>
        <w:t xml:space="preserve"> de estudiantes </w:t>
      </w:r>
      <w:r w:rsidR="00807389">
        <w:rPr>
          <w:rFonts w:ascii="Times New Roman" w:hAnsi="Times New Roman" w:cs="Times New Roman"/>
          <w:lang w:val="es-ES"/>
        </w:rPr>
        <w:t xml:space="preserve"> que se encuentra </w:t>
      </w:r>
      <w:r>
        <w:rPr>
          <w:rFonts w:ascii="Times New Roman" w:hAnsi="Times New Roman" w:cs="Times New Roman"/>
          <w:lang w:val="es-ES"/>
        </w:rPr>
        <w:t>por debajo de los niveles deseables</w:t>
      </w:r>
      <w:r w:rsidR="00D81BDF">
        <w:rPr>
          <w:rFonts w:ascii="Times New Roman" w:hAnsi="Times New Roman" w:cs="Times New Roman"/>
          <w:lang w:val="es-ES"/>
        </w:rPr>
        <w:t>,</w:t>
      </w:r>
      <w:r w:rsidR="002C5186">
        <w:rPr>
          <w:rFonts w:ascii="Times New Roman" w:hAnsi="Times New Roman" w:cs="Times New Roman"/>
          <w:lang w:val="es-ES"/>
        </w:rPr>
        <w:t xml:space="preserve"> </w:t>
      </w:r>
      <w:r w:rsidR="00D81BDF">
        <w:rPr>
          <w:rFonts w:ascii="Times New Roman" w:hAnsi="Times New Roman" w:cs="Times New Roman"/>
          <w:lang w:val="es-ES"/>
        </w:rPr>
        <w:t xml:space="preserve">y </w:t>
      </w:r>
      <w:r w:rsidR="00CD58DA" w:rsidRPr="00CD58DA">
        <w:rPr>
          <w:rFonts w:ascii="Times New Roman" w:hAnsi="Times New Roman" w:cs="Times New Roman"/>
          <w:lang w:val="es-ES"/>
        </w:rPr>
        <w:t xml:space="preserve">existen brechas en la educación que reciben los </w:t>
      </w:r>
      <w:r w:rsidR="00807389">
        <w:rPr>
          <w:rFonts w:ascii="Times New Roman" w:hAnsi="Times New Roman" w:cs="Times New Roman"/>
          <w:lang w:val="es-ES"/>
        </w:rPr>
        <w:t xml:space="preserve">estudiantes de </w:t>
      </w:r>
      <w:r w:rsidR="00CD58DA" w:rsidRPr="00CD58DA">
        <w:rPr>
          <w:rFonts w:ascii="Times New Roman" w:hAnsi="Times New Roman" w:cs="Times New Roman"/>
          <w:lang w:val="es-ES"/>
        </w:rPr>
        <w:t xml:space="preserve">colegios oficiales </w:t>
      </w:r>
      <w:r w:rsidR="00807389">
        <w:rPr>
          <w:rFonts w:ascii="Times New Roman" w:hAnsi="Times New Roman" w:cs="Times New Roman"/>
          <w:lang w:val="es-ES"/>
        </w:rPr>
        <w:t>frente a</w:t>
      </w:r>
      <w:r w:rsidR="00CD58DA" w:rsidRPr="00CD58DA">
        <w:rPr>
          <w:rFonts w:ascii="Times New Roman" w:hAnsi="Times New Roman" w:cs="Times New Roman"/>
          <w:lang w:val="es-ES"/>
        </w:rPr>
        <w:t xml:space="preserve"> los privados</w:t>
      </w:r>
      <w:r w:rsidR="0044077F">
        <w:rPr>
          <w:rFonts w:ascii="Times New Roman" w:hAnsi="Times New Roman" w:cs="Times New Roman"/>
          <w:lang w:val="es-ES"/>
        </w:rPr>
        <w:t>,</w:t>
      </w:r>
      <w:r w:rsidR="002C5186">
        <w:rPr>
          <w:rFonts w:ascii="Times New Roman" w:hAnsi="Times New Roman" w:cs="Times New Roman"/>
          <w:lang w:val="es-ES"/>
        </w:rPr>
        <w:t xml:space="preserve"> que </w:t>
      </w:r>
      <w:r w:rsidR="00CD58DA" w:rsidRPr="00CD58DA">
        <w:rPr>
          <w:rFonts w:ascii="Times New Roman" w:hAnsi="Times New Roman" w:cs="Times New Roman"/>
          <w:lang w:val="es-ES"/>
        </w:rPr>
        <w:t xml:space="preserve">aventajan a los </w:t>
      </w:r>
      <w:r w:rsidR="002C5186">
        <w:rPr>
          <w:rFonts w:ascii="Times New Roman" w:hAnsi="Times New Roman" w:cs="Times New Roman"/>
          <w:lang w:val="es-ES"/>
        </w:rPr>
        <w:t>primeros</w:t>
      </w:r>
      <w:r w:rsidR="00CD58DA" w:rsidRPr="00CD58DA">
        <w:rPr>
          <w:rFonts w:ascii="Times New Roman" w:hAnsi="Times New Roman" w:cs="Times New Roman"/>
          <w:lang w:val="es-ES"/>
        </w:rPr>
        <w:t xml:space="preserve"> en cerca de 50 puntos</w:t>
      </w:r>
      <w:r w:rsidR="007C2B2B">
        <w:rPr>
          <w:rFonts w:ascii="Times New Roman" w:hAnsi="Times New Roman" w:cs="Times New Roman"/>
          <w:lang w:val="es-ES"/>
        </w:rPr>
        <w:t xml:space="preserve"> en las tres áreas consideradas.</w:t>
      </w:r>
    </w:p>
    <w:p w:rsidR="001F3E03" w:rsidRPr="00BA20B4" w:rsidRDefault="001F3E03" w:rsidP="005A5B0C">
      <w:pPr>
        <w:autoSpaceDE w:val="0"/>
        <w:autoSpaceDN w:val="0"/>
        <w:adjustRightInd w:val="0"/>
        <w:jc w:val="both"/>
        <w:rPr>
          <w:rFonts w:ascii="Times New Roman" w:hAnsi="Times New Roman" w:cs="Arial"/>
          <w:szCs w:val="23"/>
          <w:lang w:val="es-ES"/>
        </w:rPr>
      </w:pPr>
    </w:p>
    <w:p w:rsidR="005A5B0C" w:rsidRPr="00BA20B4" w:rsidRDefault="002665B8"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 xml:space="preserve">En </w:t>
      </w:r>
      <w:r w:rsidR="008663F6">
        <w:rPr>
          <w:rFonts w:ascii="Times New Roman" w:hAnsi="Times New Roman" w:cs="Arial"/>
          <w:szCs w:val="23"/>
          <w:lang w:val="es-ES"/>
        </w:rPr>
        <w:t>las pruebas externa</w:t>
      </w:r>
      <w:r w:rsidR="00962F07">
        <w:rPr>
          <w:rFonts w:ascii="Times New Roman" w:hAnsi="Times New Roman" w:cs="Arial"/>
          <w:szCs w:val="23"/>
          <w:lang w:val="es-ES"/>
        </w:rPr>
        <w:t>s</w:t>
      </w:r>
      <w:r w:rsidR="008663F6">
        <w:rPr>
          <w:rFonts w:ascii="Times New Roman" w:hAnsi="Times New Roman" w:cs="Arial"/>
          <w:szCs w:val="23"/>
          <w:lang w:val="es-ES"/>
        </w:rPr>
        <w:t xml:space="preserve"> nacionales</w:t>
      </w:r>
      <w:r w:rsidR="00013B6D" w:rsidRPr="00BA20B4">
        <w:rPr>
          <w:rFonts w:ascii="Times New Roman" w:hAnsi="Times New Roman" w:cs="Arial"/>
          <w:szCs w:val="23"/>
          <w:lang w:val="es-ES"/>
        </w:rPr>
        <w:t>, e</w:t>
      </w:r>
      <w:r w:rsidR="005A5B0C" w:rsidRPr="00BA20B4">
        <w:rPr>
          <w:rFonts w:ascii="Times New Roman" w:hAnsi="Times New Roman" w:cs="Arial"/>
          <w:szCs w:val="23"/>
          <w:lang w:val="es-ES"/>
        </w:rPr>
        <w:t xml:space="preserve">n el año </w:t>
      </w:r>
      <w:r w:rsidR="005A5B0C" w:rsidRPr="00104346">
        <w:rPr>
          <w:rFonts w:ascii="Times New Roman" w:hAnsi="Times New Roman" w:cs="Arial"/>
          <w:szCs w:val="23"/>
          <w:lang w:val="es-ES"/>
        </w:rPr>
        <w:t>20</w:t>
      </w:r>
      <w:r w:rsidR="00140D4B" w:rsidRPr="00104346">
        <w:rPr>
          <w:rFonts w:ascii="Times New Roman" w:hAnsi="Times New Roman" w:cs="Arial"/>
          <w:szCs w:val="23"/>
          <w:lang w:val="es-ES"/>
        </w:rPr>
        <w:t>1</w:t>
      </w:r>
      <w:r w:rsidR="008A1FB4" w:rsidRPr="008A1FB4">
        <w:rPr>
          <w:rFonts w:ascii="Times New Roman" w:hAnsi="Times New Roman" w:cs="Arial"/>
          <w:szCs w:val="23"/>
          <w:lang w:val="es-ES"/>
        </w:rPr>
        <w:t>1</w:t>
      </w:r>
      <w:r w:rsidR="0058631D">
        <w:rPr>
          <w:rFonts w:ascii="Times New Roman" w:hAnsi="Times New Roman" w:cs="Arial"/>
          <w:szCs w:val="23"/>
          <w:lang w:val="es-ES"/>
        </w:rPr>
        <w:t>,</w:t>
      </w:r>
      <w:r w:rsidR="005A5B0C" w:rsidRPr="00BA20B4">
        <w:rPr>
          <w:rFonts w:ascii="Times New Roman" w:hAnsi="Times New Roman" w:cs="Arial"/>
          <w:szCs w:val="23"/>
          <w:lang w:val="es-ES"/>
        </w:rPr>
        <w:t xml:space="preserve"> el </w:t>
      </w:r>
      <w:r w:rsidR="00D81BDF">
        <w:rPr>
          <w:rFonts w:ascii="Times New Roman" w:hAnsi="Times New Roman" w:cs="Arial"/>
          <w:szCs w:val="23"/>
          <w:lang w:val="es-ES"/>
        </w:rPr>
        <w:t xml:space="preserve">57% </w:t>
      </w:r>
      <w:r w:rsidR="009D1A8A">
        <w:rPr>
          <w:rFonts w:ascii="Times New Roman" w:hAnsi="Times New Roman" w:cs="Arial"/>
          <w:szCs w:val="23"/>
          <w:lang w:val="es-ES"/>
        </w:rPr>
        <w:t>de los colegios públicos</w:t>
      </w:r>
      <w:r w:rsidR="005A5B0C" w:rsidRPr="00BA20B4">
        <w:rPr>
          <w:rFonts w:ascii="Times New Roman" w:hAnsi="Times New Roman" w:cs="Arial"/>
          <w:szCs w:val="23"/>
          <w:lang w:val="es-ES"/>
        </w:rPr>
        <w:t xml:space="preserve"> se ubicó en la categoría muy superior</w:t>
      </w:r>
      <w:r w:rsidR="00D81BDF">
        <w:rPr>
          <w:rFonts w:ascii="Times New Roman" w:hAnsi="Times New Roman" w:cs="Arial"/>
          <w:szCs w:val="23"/>
          <w:lang w:val="es-ES"/>
        </w:rPr>
        <w:t>,</w:t>
      </w:r>
      <w:r w:rsidR="00544178">
        <w:rPr>
          <w:rFonts w:ascii="Times New Roman" w:hAnsi="Times New Roman" w:cs="Arial"/>
          <w:szCs w:val="23"/>
          <w:lang w:val="es-ES"/>
        </w:rPr>
        <w:t xml:space="preserve"> superior</w:t>
      </w:r>
      <w:r w:rsidR="005A5B0C" w:rsidRPr="00BA20B4">
        <w:rPr>
          <w:rFonts w:ascii="Times New Roman" w:hAnsi="Times New Roman" w:cs="Arial"/>
          <w:szCs w:val="23"/>
          <w:lang w:val="es-ES"/>
        </w:rPr>
        <w:t xml:space="preserve"> </w:t>
      </w:r>
      <w:r w:rsidR="00D81BDF">
        <w:rPr>
          <w:rFonts w:ascii="Times New Roman" w:hAnsi="Times New Roman" w:cs="Arial"/>
          <w:szCs w:val="23"/>
          <w:lang w:val="es-ES"/>
        </w:rPr>
        <w:t xml:space="preserve">y alto </w:t>
      </w:r>
      <w:r w:rsidR="005A5B0C" w:rsidRPr="00BA20B4">
        <w:rPr>
          <w:rFonts w:ascii="Times New Roman" w:hAnsi="Times New Roman" w:cs="Arial"/>
          <w:szCs w:val="23"/>
          <w:lang w:val="es-ES"/>
        </w:rPr>
        <w:t xml:space="preserve">de las pruebas </w:t>
      </w:r>
      <w:r w:rsidR="00CD3947">
        <w:rPr>
          <w:rFonts w:ascii="Times New Roman" w:hAnsi="Times New Roman" w:cs="Arial"/>
          <w:szCs w:val="23"/>
          <w:lang w:val="es-ES"/>
        </w:rPr>
        <w:t>SABER 11</w:t>
      </w:r>
      <w:r w:rsidR="00656EBC">
        <w:rPr>
          <w:rStyle w:val="Refdenotaalpie"/>
          <w:rFonts w:ascii="Times New Roman" w:hAnsi="Times New Roman" w:cs="Arial"/>
          <w:szCs w:val="23"/>
          <w:lang w:val="es-ES"/>
        </w:rPr>
        <w:footnoteReference w:id="49"/>
      </w:r>
      <w:r w:rsidR="005A5B0C" w:rsidRPr="00BA20B4">
        <w:rPr>
          <w:rFonts w:ascii="Times New Roman" w:hAnsi="Times New Roman" w:cs="Arial"/>
          <w:szCs w:val="23"/>
          <w:lang w:val="es-ES"/>
        </w:rPr>
        <w:t xml:space="preserve">; en el otro extremo, </w:t>
      </w:r>
      <w:r w:rsidR="00140D4B">
        <w:rPr>
          <w:rFonts w:ascii="Times New Roman" w:hAnsi="Times New Roman" w:cs="Arial"/>
          <w:szCs w:val="23"/>
          <w:lang w:val="es-ES"/>
        </w:rPr>
        <w:t>43</w:t>
      </w:r>
      <w:r w:rsidR="005A5B0C" w:rsidRPr="00BA20B4">
        <w:rPr>
          <w:rFonts w:ascii="Times New Roman" w:hAnsi="Times New Roman" w:cs="Arial"/>
          <w:szCs w:val="23"/>
          <w:lang w:val="es-ES"/>
        </w:rPr>
        <w:t>% de lo</w:t>
      </w:r>
      <w:r w:rsidR="0044077F">
        <w:rPr>
          <w:rFonts w:ascii="Times New Roman" w:hAnsi="Times New Roman" w:cs="Arial"/>
          <w:szCs w:val="23"/>
          <w:lang w:val="es-ES"/>
        </w:rPr>
        <w:t>s</w:t>
      </w:r>
      <w:r w:rsidR="005A5B0C" w:rsidRPr="00BA20B4">
        <w:rPr>
          <w:rFonts w:ascii="Times New Roman" w:hAnsi="Times New Roman" w:cs="Arial"/>
          <w:szCs w:val="23"/>
          <w:lang w:val="es-ES"/>
        </w:rPr>
        <w:t xml:space="preserve"> colegios obtuv</w:t>
      </w:r>
      <w:r w:rsidR="00013B6D" w:rsidRPr="00BA20B4">
        <w:rPr>
          <w:rFonts w:ascii="Times New Roman" w:hAnsi="Times New Roman" w:cs="Arial"/>
          <w:szCs w:val="23"/>
          <w:lang w:val="es-ES"/>
        </w:rPr>
        <w:t>o</w:t>
      </w:r>
      <w:r w:rsidR="005A5B0C" w:rsidRPr="00BA20B4">
        <w:rPr>
          <w:rFonts w:ascii="Times New Roman" w:hAnsi="Times New Roman" w:cs="Arial"/>
          <w:szCs w:val="23"/>
          <w:lang w:val="es-ES"/>
        </w:rPr>
        <w:t xml:space="preserve"> una calificación de medio hasta muy inferior. Las diferencias entre los colegios privados y los colegios </w:t>
      </w:r>
      <w:r w:rsidR="007A1DB5">
        <w:rPr>
          <w:rFonts w:ascii="Times New Roman" w:hAnsi="Times New Roman" w:cs="Arial"/>
          <w:szCs w:val="23"/>
          <w:lang w:val="es-ES"/>
        </w:rPr>
        <w:t xml:space="preserve">públicos </w:t>
      </w:r>
      <w:r w:rsidR="005A5B0C" w:rsidRPr="00BA20B4">
        <w:rPr>
          <w:rFonts w:ascii="Times New Roman" w:hAnsi="Times New Roman" w:cs="Arial"/>
          <w:szCs w:val="23"/>
          <w:lang w:val="es-ES"/>
        </w:rPr>
        <w:t xml:space="preserve">distritales son </w:t>
      </w:r>
      <w:r w:rsidR="00D81BDF">
        <w:rPr>
          <w:rFonts w:ascii="Times New Roman" w:hAnsi="Times New Roman" w:cs="Arial"/>
          <w:szCs w:val="23"/>
          <w:lang w:val="es-ES"/>
        </w:rPr>
        <w:t>considerables</w:t>
      </w:r>
      <w:r w:rsidR="00545CC6">
        <w:rPr>
          <w:rFonts w:ascii="Times New Roman" w:hAnsi="Times New Roman" w:cs="Arial"/>
          <w:szCs w:val="23"/>
          <w:lang w:val="es-ES"/>
        </w:rPr>
        <w:t xml:space="preserve">, </w:t>
      </w:r>
      <w:r w:rsidR="00545CC6">
        <w:rPr>
          <w:rFonts w:ascii="Times New Roman" w:hAnsi="Times New Roman" w:cs="Arial"/>
          <w:szCs w:val="23"/>
          <w:lang w:val="es-ES"/>
        </w:rPr>
        <w:lastRenderedPageBreak/>
        <w:t xml:space="preserve">por cuanto </w:t>
      </w:r>
      <w:r w:rsidR="00D81BDF">
        <w:rPr>
          <w:rFonts w:ascii="Times New Roman" w:hAnsi="Times New Roman" w:cs="Arial"/>
          <w:szCs w:val="23"/>
          <w:lang w:val="es-ES"/>
        </w:rPr>
        <w:t>79</w:t>
      </w:r>
      <w:r w:rsidR="005A5B0C" w:rsidRPr="00BA20B4">
        <w:rPr>
          <w:rFonts w:ascii="Times New Roman" w:hAnsi="Times New Roman" w:cs="Arial"/>
          <w:szCs w:val="23"/>
          <w:lang w:val="es-ES"/>
        </w:rPr>
        <w:t>% de los privados se ubic</w:t>
      </w:r>
      <w:r w:rsidR="00427D48">
        <w:rPr>
          <w:rFonts w:ascii="Times New Roman" w:hAnsi="Times New Roman" w:cs="Arial"/>
          <w:szCs w:val="23"/>
          <w:lang w:val="es-ES"/>
        </w:rPr>
        <w:t>ó</w:t>
      </w:r>
      <w:r w:rsidR="00D81BDF">
        <w:rPr>
          <w:rFonts w:ascii="Times New Roman" w:hAnsi="Times New Roman" w:cs="Arial"/>
          <w:szCs w:val="23"/>
          <w:lang w:val="es-ES"/>
        </w:rPr>
        <w:t xml:space="preserve"> en las categorías superior,</w:t>
      </w:r>
      <w:r w:rsidR="005A5B0C" w:rsidRPr="00BA20B4">
        <w:rPr>
          <w:rFonts w:ascii="Times New Roman" w:hAnsi="Times New Roman" w:cs="Arial"/>
          <w:szCs w:val="23"/>
          <w:lang w:val="es-ES"/>
        </w:rPr>
        <w:t xml:space="preserve"> muy superior</w:t>
      </w:r>
      <w:r w:rsidR="00D81BDF">
        <w:rPr>
          <w:rFonts w:ascii="Times New Roman" w:hAnsi="Times New Roman" w:cs="Arial"/>
          <w:szCs w:val="23"/>
          <w:lang w:val="es-ES"/>
        </w:rPr>
        <w:t xml:space="preserve"> y alto</w:t>
      </w:r>
      <w:r w:rsidR="005A5B0C" w:rsidRPr="00BA20B4">
        <w:rPr>
          <w:rFonts w:ascii="Times New Roman" w:hAnsi="Times New Roman" w:cs="Arial"/>
          <w:szCs w:val="23"/>
          <w:lang w:val="es-ES"/>
        </w:rPr>
        <w:t xml:space="preserve">, </w:t>
      </w:r>
      <w:r w:rsidR="00C9565F" w:rsidRPr="00BA20B4">
        <w:rPr>
          <w:rFonts w:ascii="Times New Roman" w:hAnsi="Times New Roman" w:cs="Arial"/>
          <w:szCs w:val="23"/>
          <w:lang w:val="es-ES"/>
        </w:rPr>
        <w:t>datos</w:t>
      </w:r>
      <w:r w:rsidR="00545CC6">
        <w:rPr>
          <w:rFonts w:ascii="Times New Roman" w:hAnsi="Times New Roman" w:cs="Arial"/>
          <w:szCs w:val="23"/>
          <w:lang w:val="es-ES"/>
        </w:rPr>
        <w:t xml:space="preserve"> que</w:t>
      </w:r>
      <w:r w:rsidR="00C9565F" w:rsidRPr="00BA20B4">
        <w:rPr>
          <w:rFonts w:ascii="Times New Roman" w:hAnsi="Times New Roman" w:cs="Arial"/>
          <w:szCs w:val="23"/>
          <w:lang w:val="es-ES"/>
        </w:rPr>
        <w:t xml:space="preserve"> muestran una brecha </w:t>
      </w:r>
      <w:r w:rsidR="00D81BDF">
        <w:rPr>
          <w:rFonts w:ascii="Times New Roman" w:hAnsi="Times New Roman" w:cs="Arial"/>
          <w:szCs w:val="23"/>
          <w:lang w:val="es-ES"/>
        </w:rPr>
        <w:t>en</w:t>
      </w:r>
      <w:r w:rsidR="00C9565F" w:rsidRPr="00BA20B4">
        <w:rPr>
          <w:rFonts w:ascii="Times New Roman" w:hAnsi="Times New Roman" w:cs="Arial"/>
          <w:szCs w:val="23"/>
          <w:lang w:val="es-ES"/>
        </w:rPr>
        <w:t xml:space="preserve"> este indicador de resultado del proceso educativo.</w:t>
      </w:r>
    </w:p>
    <w:p w:rsidR="005A5B0C" w:rsidRPr="00BA20B4" w:rsidRDefault="005A5B0C" w:rsidP="005A5B0C">
      <w:pPr>
        <w:autoSpaceDE w:val="0"/>
        <w:autoSpaceDN w:val="0"/>
        <w:adjustRightInd w:val="0"/>
        <w:jc w:val="both"/>
        <w:rPr>
          <w:rFonts w:ascii="Times New Roman" w:hAnsi="Times New Roman" w:cs="Arial"/>
          <w:color w:val="494949"/>
          <w:sz w:val="23"/>
          <w:szCs w:val="23"/>
          <w:lang w:val="es-ES"/>
        </w:rPr>
      </w:pPr>
    </w:p>
    <w:p w:rsidR="002C329C" w:rsidRDefault="005A5B0C" w:rsidP="005A5B0C">
      <w:pPr>
        <w:autoSpaceDE w:val="0"/>
        <w:autoSpaceDN w:val="0"/>
        <w:adjustRightInd w:val="0"/>
        <w:jc w:val="both"/>
        <w:rPr>
          <w:rFonts w:ascii="Times New Roman" w:hAnsi="Times New Roman" w:cs="Arial"/>
          <w:szCs w:val="23"/>
          <w:lang w:val="es-ES"/>
        </w:rPr>
      </w:pPr>
      <w:r w:rsidRPr="00BA20B4">
        <w:rPr>
          <w:rFonts w:ascii="Times New Roman" w:hAnsi="Times New Roman" w:cs="Arial"/>
          <w:szCs w:val="23"/>
          <w:lang w:val="es-ES"/>
        </w:rPr>
        <w:t>Sin embargo, durante los últimos 4 años se observó un mejoramiento importante en</w:t>
      </w:r>
      <w:r w:rsidR="005731C0">
        <w:rPr>
          <w:rFonts w:ascii="Times New Roman" w:hAnsi="Times New Roman" w:cs="Arial"/>
          <w:szCs w:val="23"/>
          <w:lang w:val="es-ES"/>
        </w:rPr>
        <w:t xml:space="preserve"> la clasificación de los colegios oficiales, con base en </w:t>
      </w:r>
      <w:r w:rsidRPr="00BA20B4">
        <w:rPr>
          <w:rFonts w:ascii="Times New Roman" w:hAnsi="Times New Roman" w:cs="Arial"/>
          <w:szCs w:val="23"/>
          <w:lang w:val="es-ES"/>
        </w:rPr>
        <w:t xml:space="preserve"> los resultados de</w:t>
      </w:r>
      <w:r w:rsidR="00427D48">
        <w:rPr>
          <w:rFonts w:ascii="Times New Roman" w:hAnsi="Times New Roman" w:cs="Arial"/>
          <w:szCs w:val="23"/>
          <w:lang w:val="es-ES"/>
        </w:rPr>
        <w:t xml:space="preserve"> la prueba SABER 11</w:t>
      </w:r>
      <w:r w:rsidRPr="00BA20B4">
        <w:rPr>
          <w:rFonts w:ascii="Times New Roman" w:hAnsi="Times New Roman" w:cs="Arial"/>
          <w:szCs w:val="23"/>
          <w:lang w:val="es-ES"/>
        </w:rPr>
        <w:t>, que pasaron de tener solamente 0,9% en categoría superior en 2008 a 11% en 2011 y en alto de 17% a 46%</w:t>
      </w:r>
      <w:r w:rsidR="00C95C30">
        <w:rPr>
          <w:rFonts w:ascii="Times New Roman" w:hAnsi="Times New Roman" w:cs="Arial"/>
          <w:szCs w:val="23"/>
          <w:lang w:val="es-ES"/>
        </w:rPr>
        <w:t xml:space="preserve"> respectivamente</w:t>
      </w:r>
      <w:r w:rsidRPr="00BA20B4">
        <w:rPr>
          <w:rFonts w:ascii="Times New Roman" w:hAnsi="Times New Roman" w:cs="Arial"/>
          <w:szCs w:val="23"/>
          <w:lang w:val="es-ES"/>
        </w:rPr>
        <w:t>, con la correspondiente disminución de la proporción de colegios en niveles medio y bajo (en este último caso de 27,5% a 7,9%), y ningún colegio en las categorías inferior o muy inferior.</w:t>
      </w:r>
    </w:p>
    <w:p w:rsidR="002C329C" w:rsidRDefault="002C329C" w:rsidP="005A5B0C">
      <w:pPr>
        <w:autoSpaceDE w:val="0"/>
        <w:autoSpaceDN w:val="0"/>
        <w:adjustRightInd w:val="0"/>
        <w:jc w:val="both"/>
        <w:rPr>
          <w:rFonts w:ascii="Times New Roman" w:hAnsi="Times New Roman" w:cs="Arial"/>
          <w:szCs w:val="23"/>
          <w:lang w:val="es-ES"/>
        </w:rPr>
      </w:pPr>
    </w:p>
    <w:p w:rsidR="00750435" w:rsidRPr="00BA20B4" w:rsidRDefault="00750435" w:rsidP="005A5B0C">
      <w:pPr>
        <w:autoSpaceDE w:val="0"/>
        <w:autoSpaceDN w:val="0"/>
        <w:adjustRightInd w:val="0"/>
        <w:jc w:val="both"/>
        <w:rPr>
          <w:rFonts w:ascii="Times New Roman" w:hAnsi="Times New Roman" w:cs="Arial"/>
          <w:color w:val="494949"/>
          <w:sz w:val="23"/>
          <w:szCs w:val="23"/>
          <w:lang w:val="es-ES"/>
        </w:rPr>
      </w:pPr>
    </w:p>
    <w:p w:rsidR="00E305F4" w:rsidRDefault="0047185F" w:rsidP="0047185F">
      <w:pPr>
        <w:autoSpaceDE w:val="0"/>
        <w:autoSpaceDN w:val="0"/>
        <w:adjustRightInd w:val="0"/>
        <w:jc w:val="center"/>
        <w:rPr>
          <w:rFonts w:ascii="Times New Roman" w:hAnsi="Times New Roman" w:cs="Times New Roman"/>
          <w:b/>
          <w:color w:val="494949"/>
          <w:sz w:val="23"/>
          <w:szCs w:val="23"/>
          <w:lang w:val="es-ES"/>
        </w:rPr>
      </w:pPr>
      <w:r>
        <w:rPr>
          <w:rFonts w:ascii="Times New Roman" w:hAnsi="Times New Roman" w:cs="Times New Roman"/>
          <w:b/>
          <w:sz w:val="22"/>
          <w:szCs w:val="22"/>
        </w:rPr>
        <w:t xml:space="preserve">Tabla 2. </w:t>
      </w:r>
      <w:r w:rsidR="00D527EE" w:rsidRPr="00BA20B4">
        <w:rPr>
          <w:rFonts w:ascii="Times New Roman" w:hAnsi="Times New Roman" w:cs="Times New Roman"/>
          <w:b/>
          <w:sz w:val="22"/>
          <w:szCs w:val="22"/>
        </w:rPr>
        <w:t>Resultados pruebas ICFES Saber 11 para los colegios-jornada distritales</w:t>
      </w:r>
    </w:p>
    <w:p w:rsidR="00D527EE" w:rsidRPr="00BA20B4" w:rsidRDefault="00D527EE" w:rsidP="005A5B0C">
      <w:pPr>
        <w:autoSpaceDE w:val="0"/>
        <w:autoSpaceDN w:val="0"/>
        <w:adjustRightInd w:val="0"/>
        <w:jc w:val="both"/>
        <w:rPr>
          <w:rFonts w:ascii="Times New Roman" w:hAnsi="Times New Roman" w:cs="Arial"/>
          <w:color w:val="494949"/>
          <w:sz w:val="23"/>
          <w:szCs w:val="23"/>
          <w:lang w:val="es-ES"/>
        </w:rPr>
      </w:pPr>
    </w:p>
    <w:tbl>
      <w:tblPr>
        <w:tblW w:w="8879" w:type="dxa"/>
        <w:tblInd w:w="65" w:type="dxa"/>
        <w:tblCellMar>
          <w:left w:w="70" w:type="dxa"/>
          <w:right w:w="70" w:type="dxa"/>
        </w:tblCellMar>
        <w:tblLook w:val="04A0" w:firstRow="1" w:lastRow="0" w:firstColumn="1" w:lastColumn="0" w:noHBand="0" w:noVBand="1"/>
      </w:tblPr>
      <w:tblGrid>
        <w:gridCol w:w="1234"/>
        <w:gridCol w:w="1086"/>
        <w:gridCol w:w="833"/>
        <w:gridCol w:w="1087"/>
        <w:gridCol w:w="833"/>
        <w:gridCol w:w="1087"/>
        <w:gridCol w:w="833"/>
        <w:gridCol w:w="1087"/>
        <w:gridCol w:w="833"/>
      </w:tblGrid>
      <w:tr w:rsidR="00750435" w:rsidRPr="00BA20B4">
        <w:trPr>
          <w:trHeight w:val="300"/>
        </w:trPr>
        <w:tc>
          <w:tcPr>
            <w:tcW w:w="1211"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tcPr>
          <w:p w:rsidR="00750435" w:rsidRPr="00BA20B4" w:rsidRDefault="00750435" w:rsidP="0051745A">
            <w:pPr>
              <w:rPr>
                <w:rFonts w:ascii="Times New Roman" w:hAnsi="Times New Roman"/>
                <w:b/>
                <w:bCs/>
                <w:color w:val="000000"/>
                <w:sz w:val="18"/>
                <w:lang w:val="es-ES"/>
              </w:rPr>
            </w:pPr>
            <w:r w:rsidRPr="00BA20B4">
              <w:rPr>
                <w:rFonts w:ascii="Times New Roman" w:hAnsi="Times New Roman"/>
                <w:b/>
                <w:bCs/>
                <w:color w:val="000000"/>
                <w:sz w:val="18"/>
                <w:lang w:val="es-ES"/>
              </w:rPr>
              <w:t>CATEGORÍA</w:t>
            </w:r>
          </w:p>
        </w:tc>
        <w:tc>
          <w:tcPr>
            <w:tcW w:w="1917" w:type="dxa"/>
            <w:gridSpan w:val="2"/>
            <w:tcBorders>
              <w:top w:val="single" w:sz="4" w:space="0" w:color="auto"/>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2008</w:t>
            </w:r>
          </w:p>
        </w:tc>
        <w:tc>
          <w:tcPr>
            <w:tcW w:w="1917" w:type="dxa"/>
            <w:gridSpan w:val="2"/>
            <w:tcBorders>
              <w:top w:val="single" w:sz="4" w:space="0" w:color="auto"/>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2009</w:t>
            </w:r>
          </w:p>
        </w:tc>
        <w:tc>
          <w:tcPr>
            <w:tcW w:w="1917" w:type="dxa"/>
            <w:gridSpan w:val="2"/>
            <w:tcBorders>
              <w:top w:val="single" w:sz="4" w:space="0" w:color="auto"/>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2010</w:t>
            </w:r>
          </w:p>
        </w:tc>
        <w:tc>
          <w:tcPr>
            <w:tcW w:w="1917" w:type="dxa"/>
            <w:gridSpan w:val="2"/>
            <w:tcBorders>
              <w:top w:val="single" w:sz="4" w:space="0" w:color="auto"/>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2011</w:t>
            </w:r>
          </w:p>
        </w:tc>
      </w:tr>
      <w:tr w:rsidR="00750435" w:rsidRPr="00BA20B4">
        <w:trPr>
          <w:trHeight w:val="300"/>
        </w:trPr>
        <w:tc>
          <w:tcPr>
            <w:tcW w:w="1211" w:type="dxa"/>
            <w:vMerge/>
            <w:tcBorders>
              <w:top w:val="single" w:sz="4" w:space="0" w:color="auto"/>
              <w:left w:val="single" w:sz="4" w:space="0" w:color="auto"/>
              <w:bottom w:val="single" w:sz="4" w:space="0" w:color="auto"/>
              <w:right w:val="single" w:sz="4" w:space="0" w:color="auto"/>
            </w:tcBorders>
            <w:vAlign w:val="center"/>
          </w:tcPr>
          <w:p w:rsidR="00750435" w:rsidRPr="00BA20B4" w:rsidRDefault="00750435" w:rsidP="0051745A">
            <w:pPr>
              <w:rPr>
                <w:rFonts w:ascii="Times New Roman" w:hAnsi="Times New Roman"/>
                <w:b/>
                <w:bCs/>
                <w:color w:val="000000"/>
                <w:sz w:val="18"/>
                <w:lang w:val="es-ES"/>
              </w:rPr>
            </w:pPr>
          </w:p>
        </w:tc>
        <w:tc>
          <w:tcPr>
            <w:tcW w:w="1074" w:type="dxa"/>
            <w:tcBorders>
              <w:top w:val="nil"/>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COLEGIOS</w:t>
            </w:r>
          </w:p>
        </w:tc>
        <w:tc>
          <w:tcPr>
            <w:tcW w:w="843" w:type="dxa"/>
            <w:tcBorders>
              <w:top w:val="nil"/>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w:t>
            </w:r>
          </w:p>
        </w:tc>
        <w:tc>
          <w:tcPr>
            <w:tcW w:w="1074" w:type="dxa"/>
            <w:tcBorders>
              <w:top w:val="nil"/>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COLEGIOS</w:t>
            </w:r>
          </w:p>
        </w:tc>
        <w:tc>
          <w:tcPr>
            <w:tcW w:w="843" w:type="dxa"/>
            <w:tcBorders>
              <w:top w:val="nil"/>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w:t>
            </w:r>
          </w:p>
        </w:tc>
        <w:tc>
          <w:tcPr>
            <w:tcW w:w="1074" w:type="dxa"/>
            <w:tcBorders>
              <w:top w:val="nil"/>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COLEGIOS</w:t>
            </w:r>
          </w:p>
        </w:tc>
        <w:tc>
          <w:tcPr>
            <w:tcW w:w="843" w:type="dxa"/>
            <w:tcBorders>
              <w:top w:val="nil"/>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w:t>
            </w:r>
          </w:p>
        </w:tc>
        <w:tc>
          <w:tcPr>
            <w:tcW w:w="1074" w:type="dxa"/>
            <w:tcBorders>
              <w:top w:val="nil"/>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COLEGIOS</w:t>
            </w:r>
          </w:p>
        </w:tc>
        <w:tc>
          <w:tcPr>
            <w:tcW w:w="843" w:type="dxa"/>
            <w:tcBorders>
              <w:top w:val="nil"/>
              <w:left w:val="nil"/>
              <w:bottom w:val="single" w:sz="4" w:space="0" w:color="auto"/>
              <w:right w:val="single" w:sz="4" w:space="0" w:color="auto"/>
            </w:tcBorders>
            <w:shd w:val="clear" w:color="000000" w:fill="B8CCE4"/>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w:t>
            </w:r>
          </w:p>
        </w:tc>
      </w:tr>
      <w:tr w:rsidR="00750435" w:rsidRPr="00BA20B4">
        <w:trPr>
          <w:trHeight w:val="360"/>
        </w:trPr>
        <w:tc>
          <w:tcPr>
            <w:tcW w:w="1211" w:type="dxa"/>
            <w:tcBorders>
              <w:top w:val="nil"/>
              <w:left w:val="single" w:sz="4" w:space="0" w:color="auto"/>
              <w:bottom w:val="single" w:sz="4" w:space="0" w:color="auto"/>
              <w:right w:val="single" w:sz="4" w:space="0" w:color="auto"/>
            </w:tcBorders>
            <w:shd w:val="clear" w:color="000000" w:fill="FFFFFF"/>
            <w:vAlign w:val="bottom"/>
          </w:tcPr>
          <w:p w:rsidR="00750435" w:rsidRPr="00BA20B4" w:rsidRDefault="00750435" w:rsidP="0051745A">
            <w:pPr>
              <w:rPr>
                <w:rFonts w:ascii="Times New Roman" w:hAnsi="Times New Roman"/>
                <w:color w:val="000000"/>
                <w:sz w:val="18"/>
                <w:lang w:val="es-ES"/>
              </w:rPr>
            </w:pPr>
            <w:r w:rsidRPr="00BA20B4">
              <w:rPr>
                <w:rFonts w:ascii="Times New Roman" w:hAnsi="Times New Roman"/>
                <w:color w:val="000000"/>
                <w:sz w:val="18"/>
                <w:lang w:val="es-ES"/>
              </w:rPr>
              <w:t>MUY SUPERIOR</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0,2%</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0,2%</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0,0%</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0,2%</w:t>
            </w:r>
          </w:p>
        </w:tc>
      </w:tr>
      <w:tr w:rsidR="00750435" w:rsidRPr="00BA20B4">
        <w:trPr>
          <w:trHeight w:val="300"/>
        </w:trPr>
        <w:tc>
          <w:tcPr>
            <w:tcW w:w="1211" w:type="dxa"/>
            <w:tcBorders>
              <w:top w:val="nil"/>
              <w:left w:val="single" w:sz="4" w:space="0" w:color="auto"/>
              <w:bottom w:val="single" w:sz="4" w:space="0" w:color="auto"/>
              <w:right w:val="single" w:sz="4" w:space="0" w:color="auto"/>
            </w:tcBorders>
            <w:shd w:val="clear" w:color="000000" w:fill="FFFFFF"/>
            <w:vAlign w:val="bottom"/>
          </w:tcPr>
          <w:p w:rsidR="00750435" w:rsidRPr="00BA20B4" w:rsidRDefault="00750435" w:rsidP="0051745A">
            <w:pPr>
              <w:rPr>
                <w:rFonts w:ascii="Times New Roman" w:hAnsi="Times New Roman"/>
                <w:color w:val="000000"/>
                <w:sz w:val="18"/>
                <w:lang w:val="es-ES"/>
              </w:rPr>
            </w:pPr>
            <w:r w:rsidRPr="00BA20B4">
              <w:rPr>
                <w:rFonts w:ascii="Times New Roman" w:hAnsi="Times New Roman"/>
                <w:color w:val="000000"/>
                <w:sz w:val="18"/>
                <w:lang w:val="es-ES"/>
              </w:rPr>
              <w:t>SUPERIOR</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5</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0,9%</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15</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2,7%</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33</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5,7%</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66</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10,8%</w:t>
            </w:r>
          </w:p>
        </w:tc>
      </w:tr>
      <w:tr w:rsidR="00750435" w:rsidRPr="00BA20B4">
        <w:trPr>
          <w:trHeight w:val="300"/>
        </w:trPr>
        <w:tc>
          <w:tcPr>
            <w:tcW w:w="1211" w:type="dxa"/>
            <w:tcBorders>
              <w:top w:val="nil"/>
              <w:left w:val="single" w:sz="4" w:space="0" w:color="auto"/>
              <w:bottom w:val="single" w:sz="4" w:space="0" w:color="auto"/>
              <w:right w:val="single" w:sz="4" w:space="0" w:color="auto"/>
            </w:tcBorders>
            <w:shd w:val="clear" w:color="000000" w:fill="FFFFFF"/>
            <w:vAlign w:val="bottom"/>
          </w:tcPr>
          <w:p w:rsidR="00750435" w:rsidRPr="00BA20B4" w:rsidRDefault="00750435" w:rsidP="0051745A">
            <w:pPr>
              <w:rPr>
                <w:rFonts w:ascii="Times New Roman" w:hAnsi="Times New Roman"/>
                <w:color w:val="000000"/>
                <w:sz w:val="18"/>
                <w:lang w:val="es-ES"/>
              </w:rPr>
            </w:pPr>
            <w:r w:rsidRPr="00BA20B4">
              <w:rPr>
                <w:rFonts w:ascii="Times New Roman" w:hAnsi="Times New Roman"/>
                <w:color w:val="000000"/>
                <w:sz w:val="18"/>
                <w:lang w:val="es-ES"/>
              </w:rPr>
              <w:t>ALTO</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91</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16,9%</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168</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30,4%</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196</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33,7%</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281</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46,1%</w:t>
            </w:r>
          </w:p>
        </w:tc>
      </w:tr>
      <w:tr w:rsidR="00750435" w:rsidRPr="00BA20B4">
        <w:trPr>
          <w:trHeight w:val="300"/>
        </w:trPr>
        <w:tc>
          <w:tcPr>
            <w:tcW w:w="1211" w:type="dxa"/>
            <w:tcBorders>
              <w:top w:val="nil"/>
              <w:left w:val="single" w:sz="4" w:space="0" w:color="auto"/>
              <w:bottom w:val="single" w:sz="4" w:space="0" w:color="auto"/>
              <w:right w:val="single" w:sz="4" w:space="0" w:color="auto"/>
            </w:tcBorders>
            <w:shd w:val="clear" w:color="000000" w:fill="FFFFFF"/>
            <w:vAlign w:val="bottom"/>
          </w:tcPr>
          <w:p w:rsidR="00750435" w:rsidRPr="00BA20B4" w:rsidRDefault="00750435" w:rsidP="0051745A">
            <w:pPr>
              <w:rPr>
                <w:rFonts w:ascii="Times New Roman" w:hAnsi="Times New Roman"/>
                <w:color w:val="000000"/>
                <w:sz w:val="18"/>
                <w:lang w:val="es-ES"/>
              </w:rPr>
            </w:pPr>
            <w:r w:rsidRPr="00BA20B4">
              <w:rPr>
                <w:rFonts w:ascii="Times New Roman" w:hAnsi="Times New Roman"/>
                <w:color w:val="000000"/>
                <w:sz w:val="18"/>
                <w:lang w:val="es-ES"/>
              </w:rPr>
              <w:t>MEDIO</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289</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53,7%</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256</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46,3%</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245</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42,2%</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213</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35,0%</w:t>
            </w:r>
          </w:p>
        </w:tc>
      </w:tr>
      <w:tr w:rsidR="00750435" w:rsidRPr="00BA20B4">
        <w:trPr>
          <w:trHeight w:val="362"/>
        </w:trPr>
        <w:tc>
          <w:tcPr>
            <w:tcW w:w="1211" w:type="dxa"/>
            <w:tcBorders>
              <w:top w:val="nil"/>
              <w:left w:val="single" w:sz="4" w:space="0" w:color="auto"/>
              <w:bottom w:val="single" w:sz="4" w:space="0" w:color="auto"/>
              <w:right w:val="single" w:sz="4" w:space="0" w:color="auto"/>
            </w:tcBorders>
            <w:shd w:val="clear" w:color="000000" w:fill="FFFFFF"/>
            <w:vAlign w:val="bottom"/>
          </w:tcPr>
          <w:p w:rsidR="00750435" w:rsidRPr="00BA20B4" w:rsidRDefault="00750435" w:rsidP="0051745A">
            <w:pPr>
              <w:rPr>
                <w:rFonts w:ascii="Times New Roman" w:hAnsi="Times New Roman"/>
                <w:color w:val="000000"/>
                <w:sz w:val="18"/>
                <w:lang w:val="es-ES"/>
              </w:rPr>
            </w:pPr>
            <w:r w:rsidRPr="00BA20B4">
              <w:rPr>
                <w:rFonts w:ascii="Times New Roman" w:hAnsi="Times New Roman"/>
                <w:color w:val="000000"/>
                <w:sz w:val="18"/>
                <w:lang w:val="es-ES"/>
              </w:rPr>
              <w:t>BAJO</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148</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27,5%</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110</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19,9%</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101</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17,4%</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48</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7,9%</w:t>
            </w:r>
          </w:p>
        </w:tc>
      </w:tr>
      <w:tr w:rsidR="00750435" w:rsidRPr="00BA20B4">
        <w:trPr>
          <w:trHeight w:val="300"/>
        </w:trPr>
        <w:tc>
          <w:tcPr>
            <w:tcW w:w="1211" w:type="dxa"/>
            <w:tcBorders>
              <w:top w:val="nil"/>
              <w:left w:val="single" w:sz="4" w:space="0" w:color="auto"/>
              <w:bottom w:val="single" w:sz="4" w:space="0" w:color="auto"/>
              <w:right w:val="single" w:sz="4" w:space="0" w:color="auto"/>
            </w:tcBorders>
            <w:shd w:val="clear" w:color="000000" w:fill="FFFFFF"/>
            <w:vAlign w:val="bottom"/>
          </w:tcPr>
          <w:p w:rsidR="00750435" w:rsidRPr="00BA20B4" w:rsidRDefault="00750435" w:rsidP="0051745A">
            <w:pPr>
              <w:rPr>
                <w:rFonts w:ascii="Times New Roman" w:hAnsi="Times New Roman"/>
                <w:color w:val="000000"/>
                <w:sz w:val="18"/>
                <w:lang w:val="es-ES"/>
              </w:rPr>
            </w:pPr>
            <w:r w:rsidRPr="00BA20B4">
              <w:rPr>
                <w:rFonts w:ascii="Times New Roman" w:hAnsi="Times New Roman"/>
                <w:color w:val="000000"/>
                <w:sz w:val="18"/>
                <w:lang w:val="es-ES"/>
              </w:rPr>
              <w:t>INFERIOR</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4</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0,7%</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3</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0,5%</w:t>
            </w:r>
          </w:p>
        </w:tc>
        <w:tc>
          <w:tcPr>
            <w:tcW w:w="1074"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6</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1,0%</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color w:val="000000"/>
                <w:sz w:val="18"/>
                <w:lang w:val="es-ES"/>
              </w:rPr>
            </w:pPr>
            <w:r w:rsidRPr="00BA20B4">
              <w:rPr>
                <w:rFonts w:ascii="Times New Roman" w:hAnsi="Times New Roman"/>
                <w:color w:val="000000"/>
                <w:sz w:val="18"/>
                <w:lang w:val="es-ES"/>
              </w:rPr>
              <w:t>0,0%</w:t>
            </w:r>
          </w:p>
        </w:tc>
      </w:tr>
      <w:tr w:rsidR="00750435" w:rsidRPr="00BA20B4">
        <w:trPr>
          <w:trHeight w:val="300"/>
        </w:trPr>
        <w:tc>
          <w:tcPr>
            <w:tcW w:w="1211" w:type="dxa"/>
            <w:tcBorders>
              <w:top w:val="nil"/>
              <w:left w:val="single" w:sz="4" w:space="0" w:color="auto"/>
              <w:bottom w:val="single" w:sz="4" w:space="0" w:color="auto"/>
              <w:right w:val="single" w:sz="4" w:space="0" w:color="auto"/>
            </w:tcBorders>
            <w:shd w:val="clear" w:color="000000" w:fill="FFFFFF"/>
            <w:vAlign w:val="bottom"/>
          </w:tcPr>
          <w:p w:rsidR="00750435" w:rsidRPr="00BA20B4" w:rsidRDefault="00750435" w:rsidP="0051745A">
            <w:pPr>
              <w:rPr>
                <w:rFonts w:ascii="Times New Roman" w:hAnsi="Times New Roman"/>
                <w:b/>
                <w:bCs/>
                <w:color w:val="000000"/>
                <w:sz w:val="18"/>
                <w:lang w:val="es-ES"/>
              </w:rPr>
            </w:pPr>
            <w:r w:rsidRPr="00BA20B4">
              <w:rPr>
                <w:rFonts w:ascii="Times New Roman" w:hAnsi="Times New Roman"/>
                <w:b/>
                <w:bCs/>
                <w:color w:val="000000"/>
                <w:sz w:val="18"/>
                <w:lang w:val="es-ES"/>
              </w:rPr>
              <w:t>TOTAL</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538</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100,0%</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553</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100,0%</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581</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100,0%</w:t>
            </w:r>
          </w:p>
        </w:tc>
        <w:tc>
          <w:tcPr>
            <w:tcW w:w="1074" w:type="dxa"/>
            <w:tcBorders>
              <w:top w:val="nil"/>
              <w:left w:val="nil"/>
              <w:bottom w:val="single" w:sz="4" w:space="0" w:color="auto"/>
              <w:right w:val="single" w:sz="4" w:space="0" w:color="auto"/>
            </w:tcBorders>
            <w:shd w:val="clear" w:color="000000" w:fill="FFFFFF"/>
            <w:noWrap/>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609</w:t>
            </w:r>
          </w:p>
        </w:tc>
        <w:tc>
          <w:tcPr>
            <w:tcW w:w="843" w:type="dxa"/>
            <w:tcBorders>
              <w:top w:val="nil"/>
              <w:left w:val="nil"/>
              <w:bottom w:val="single" w:sz="4" w:space="0" w:color="auto"/>
              <w:right w:val="single" w:sz="4" w:space="0" w:color="auto"/>
            </w:tcBorders>
            <w:shd w:val="clear" w:color="000000" w:fill="FFFFFF"/>
            <w:vAlign w:val="bottom"/>
          </w:tcPr>
          <w:p w:rsidR="00750435" w:rsidRPr="00BA20B4" w:rsidRDefault="00750435" w:rsidP="0051745A">
            <w:pPr>
              <w:jc w:val="center"/>
              <w:rPr>
                <w:rFonts w:ascii="Times New Roman" w:hAnsi="Times New Roman"/>
                <w:b/>
                <w:bCs/>
                <w:color w:val="000000"/>
                <w:sz w:val="18"/>
                <w:lang w:val="es-ES"/>
              </w:rPr>
            </w:pPr>
            <w:r w:rsidRPr="00BA20B4">
              <w:rPr>
                <w:rFonts w:ascii="Times New Roman" w:hAnsi="Times New Roman"/>
                <w:b/>
                <w:bCs/>
                <w:color w:val="000000"/>
                <w:sz w:val="18"/>
                <w:lang w:val="es-ES"/>
              </w:rPr>
              <w:t>100,0%</w:t>
            </w:r>
          </w:p>
        </w:tc>
      </w:tr>
    </w:tbl>
    <w:p w:rsidR="00750435" w:rsidRPr="00BA20B4" w:rsidRDefault="00750435" w:rsidP="005A5B0C">
      <w:pPr>
        <w:autoSpaceDE w:val="0"/>
        <w:autoSpaceDN w:val="0"/>
        <w:adjustRightInd w:val="0"/>
        <w:jc w:val="both"/>
        <w:rPr>
          <w:rFonts w:ascii="Times New Roman" w:hAnsi="Times New Roman" w:cs="Arial"/>
          <w:color w:val="494949"/>
          <w:sz w:val="23"/>
          <w:szCs w:val="23"/>
          <w:lang w:val="es-ES"/>
        </w:rPr>
      </w:pPr>
      <w:r w:rsidRPr="005731C0">
        <w:rPr>
          <w:rFonts w:ascii="Times New Roman" w:hAnsi="Times New Roman" w:cs="Arial"/>
          <w:color w:val="494949"/>
          <w:sz w:val="18"/>
          <w:szCs w:val="23"/>
          <w:lang w:val="es-ES"/>
        </w:rPr>
        <w:t>Fuente:</w:t>
      </w:r>
      <w:r w:rsidR="003B1DD0" w:rsidRPr="00BA20B4">
        <w:rPr>
          <w:rFonts w:ascii="Times New Roman" w:hAnsi="Times New Roman" w:cs="Arial"/>
          <w:sz w:val="18"/>
          <w:szCs w:val="18"/>
        </w:rPr>
        <w:t xml:space="preserve"> Secretaría de Educación del Distrito, Dirección de Evaluación (2012),</w:t>
      </w:r>
      <w:r w:rsidR="00AE46AA" w:rsidRPr="00BA20B4">
        <w:rPr>
          <w:rFonts w:ascii="Times New Roman" w:hAnsi="Times New Roman" w:cs="Arial"/>
          <w:sz w:val="18"/>
          <w:szCs w:val="18"/>
        </w:rPr>
        <w:t xml:space="preserve"> Clasificación de colegios – jornada. Pp. 3.</w:t>
      </w:r>
    </w:p>
    <w:p w:rsidR="00BF6BF3" w:rsidRPr="00BA20B4" w:rsidRDefault="00BF6BF3" w:rsidP="00BF6BF3">
      <w:pPr>
        <w:autoSpaceDE w:val="0"/>
        <w:autoSpaceDN w:val="0"/>
        <w:adjustRightInd w:val="0"/>
        <w:jc w:val="both"/>
        <w:rPr>
          <w:rFonts w:ascii="Times New Roman" w:hAnsi="Times New Roman" w:cs="Arial"/>
          <w:color w:val="494949"/>
          <w:sz w:val="23"/>
          <w:szCs w:val="23"/>
          <w:lang w:val="es-ES"/>
        </w:rPr>
      </w:pPr>
    </w:p>
    <w:p w:rsidR="00BF6BF3" w:rsidRPr="0047185F" w:rsidRDefault="00586F01" w:rsidP="0047185F">
      <w:pPr>
        <w:jc w:val="center"/>
        <w:rPr>
          <w:rFonts w:ascii="Times New Roman" w:hAnsi="Times New Roman" w:cs="Times New Roman"/>
          <w:b/>
          <w:sz w:val="22"/>
          <w:szCs w:val="22"/>
        </w:rPr>
      </w:pPr>
      <w:r>
        <w:rPr>
          <w:rFonts w:ascii="Times New Roman" w:hAnsi="Times New Roman" w:cs="Times New Roman"/>
          <w:b/>
          <w:sz w:val="22"/>
          <w:szCs w:val="22"/>
        </w:rPr>
        <w:t>Gráfico 1</w:t>
      </w:r>
    </w:p>
    <w:p w:rsidR="00BF6BF3" w:rsidRPr="00BA20B4" w:rsidRDefault="00784006" w:rsidP="00BF6BF3">
      <w:pPr>
        <w:ind w:left="426"/>
        <w:jc w:val="center"/>
        <w:rPr>
          <w:rFonts w:ascii="Times New Roman" w:hAnsi="Times New Roman" w:cs="Times New Roman"/>
          <w:noProof/>
          <w:sz w:val="22"/>
          <w:szCs w:val="22"/>
          <w:lang w:val="es-ES"/>
        </w:rPr>
      </w:pPr>
      <w:r w:rsidRPr="00BA20B4">
        <w:rPr>
          <w:rFonts w:ascii="Times New Roman" w:hAnsi="Times New Roman" w:cs="Times New Roman"/>
          <w:noProof/>
          <w:sz w:val="22"/>
          <w:szCs w:val="22"/>
          <w:lang w:val="es-ES" w:eastAsia="es-ES"/>
        </w:rPr>
        <w:drawing>
          <wp:inline distT="0" distB="0" distL="0" distR="0">
            <wp:extent cx="4632202" cy="3175258"/>
            <wp:effectExtent l="25400" t="25400" r="15998" b="0"/>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6BF3" w:rsidRPr="00BA20B4" w:rsidRDefault="00BF6BF3" w:rsidP="005A5B0C">
      <w:pPr>
        <w:autoSpaceDE w:val="0"/>
        <w:autoSpaceDN w:val="0"/>
        <w:adjustRightInd w:val="0"/>
        <w:jc w:val="both"/>
        <w:rPr>
          <w:rFonts w:ascii="Times New Roman" w:hAnsi="Times New Roman" w:cs="Arial"/>
          <w:color w:val="494949"/>
          <w:sz w:val="23"/>
          <w:szCs w:val="23"/>
          <w:lang w:val="es-ES"/>
        </w:rPr>
      </w:pPr>
    </w:p>
    <w:p w:rsidR="00013B6D" w:rsidRPr="00BA20B4" w:rsidRDefault="00013B6D" w:rsidP="005A5B0C">
      <w:pPr>
        <w:autoSpaceDE w:val="0"/>
        <w:autoSpaceDN w:val="0"/>
        <w:adjustRightInd w:val="0"/>
        <w:jc w:val="both"/>
        <w:rPr>
          <w:rFonts w:ascii="Times New Roman" w:hAnsi="Times New Roman" w:cs="Arial"/>
          <w:color w:val="494949"/>
          <w:sz w:val="23"/>
          <w:szCs w:val="23"/>
          <w:lang w:val="es-ES"/>
        </w:rPr>
      </w:pPr>
    </w:p>
    <w:p w:rsidR="00A97851" w:rsidRDefault="00A97851" w:rsidP="00A97851">
      <w:pPr>
        <w:autoSpaceDE w:val="0"/>
        <w:autoSpaceDN w:val="0"/>
        <w:adjustRightInd w:val="0"/>
        <w:jc w:val="both"/>
        <w:rPr>
          <w:rFonts w:ascii="Times New Roman" w:hAnsi="Times New Roman" w:cs="Arial"/>
          <w:szCs w:val="23"/>
          <w:lang w:val="es-ES"/>
        </w:rPr>
      </w:pPr>
      <w:r w:rsidRPr="00BA20B4">
        <w:rPr>
          <w:rFonts w:ascii="Times New Roman" w:hAnsi="Times New Roman" w:cs="Arial"/>
          <w:szCs w:val="23"/>
          <w:lang w:val="es-ES"/>
        </w:rPr>
        <w:t>Los resultados por áreas</w:t>
      </w:r>
      <w:r w:rsidR="00801725">
        <w:rPr>
          <w:rFonts w:ascii="Times New Roman" w:hAnsi="Times New Roman" w:cs="Arial"/>
          <w:szCs w:val="23"/>
          <w:lang w:val="es-ES"/>
        </w:rPr>
        <w:t>,</w:t>
      </w:r>
      <w:r w:rsidR="00CF673F">
        <w:rPr>
          <w:rFonts w:ascii="Times New Roman" w:hAnsi="Times New Roman" w:cs="Arial"/>
          <w:szCs w:val="23"/>
          <w:lang w:val="es-ES"/>
        </w:rPr>
        <w:t xml:space="preserve"> </w:t>
      </w:r>
      <w:r w:rsidR="00801725">
        <w:rPr>
          <w:rFonts w:ascii="Times New Roman" w:hAnsi="Times New Roman" w:cs="Arial"/>
          <w:szCs w:val="23"/>
          <w:lang w:val="es-ES"/>
        </w:rPr>
        <w:t xml:space="preserve">sin embargo, </w:t>
      </w:r>
      <w:r w:rsidRPr="00BA20B4">
        <w:rPr>
          <w:rFonts w:ascii="Times New Roman" w:hAnsi="Times New Roman" w:cs="Arial"/>
          <w:szCs w:val="23"/>
          <w:lang w:val="es-ES"/>
        </w:rPr>
        <w:t xml:space="preserve">no son </w:t>
      </w:r>
      <w:r w:rsidR="00394C26">
        <w:rPr>
          <w:rFonts w:ascii="Times New Roman" w:hAnsi="Times New Roman" w:cs="Arial"/>
          <w:szCs w:val="23"/>
          <w:lang w:val="es-ES"/>
        </w:rPr>
        <w:t xml:space="preserve">altos </w:t>
      </w:r>
      <w:r w:rsidRPr="00BA20B4">
        <w:rPr>
          <w:rFonts w:ascii="Times New Roman" w:hAnsi="Times New Roman" w:cs="Arial"/>
          <w:szCs w:val="23"/>
          <w:lang w:val="es-ES"/>
        </w:rPr>
        <w:t xml:space="preserve">para el conjunto de la ciudad. </w:t>
      </w:r>
      <w:r w:rsidR="00D937EF">
        <w:rPr>
          <w:rFonts w:ascii="Times New Roman" w:hAnsi="Times New Roman" w:cs="Arial"/>
          <w:szCs w:val="23"/>
          <w:lang w:val="es-ES"/>
        </w:rPr>
        <w:t>Aunque se observa</w:t>
      </w:r>
      <w:r w:rsidR="00CA4172">
        <w:rPr>
          <w:rFonts w:ascii="Times New Roman" w:hAnsi="Times New Roman" w:cs="Arial"/>
          <w:szCs w:val="23"/>
          <w:lang w:val="es-ES"/>
        </w:rPr>
        <w:t xml:space="preserve"> mejoramiento en relación con el</w:t>
      </w:r>
      <w:r w:rsidR="00D937EF">
        <w:rPr>
          <w:rFonts w:ascii="Times New Roman" w:hAnsi="Times New Roman" w:cs="Arial"/>
          <w:szCs w:val="23"/>
          <w:lang w:val="es-ES"/>
        </w:rPr>
        <w:t xml:space="preserve"> año 2007, p</w:t>
      </w:r>
      <w:r w:rsidRPr="00BA20B4">
        <w:rPr>
          <w:rFonts w:ascii="Times New Roman" w:hAnsi="Times New Roman" w:cs="Arial"/>
          <w:szCs w:val="23"/>
          <w:lang w:val="es-ES"/>
        </w:rPr>
        <w:t>ara 2011 el valor promedio más alto se obtuvo en lenguaje, con 49,6 puntos sobre un máximo de 100 y el menor en filosofía con 43,</w:t>
      </w:r>
      <w:r w:rsidR="007A1DB5">
        <w:rPr>
          <w:rFonts w:ascii="Times New Roman" w:hAnsi="Times New Roman" w:cs="Arial"/>
          <w:szCs w:val="23"/>
          <w:lang w:val="es-ES"/>
        </w:rPr>
        <w:t>3</w:t>
      </w:r>
      <w:r w:rsidRPr="00BA20B4">
        <w:rPr>
          <w:rStyle w:val="Refdenotaalpie"/>
          <w:rFonts w:ascii="Times New Roman" w:hAnsi="Times New Roman" w:cs="Times New Roman"/>
        </w:rPr>
        <w:footnoteReference w:id="50"/>
      </w:r>
      <w:r w:rsidRPr="00BA20B4">
        <w:rPr>
          <w:rFonts w:ascii="Times New Roman" w:hAnsi="Times New Roman" w:cs="Arial"/>
          <w:szCs w:val="23"/>
          <w:lang w:val="es-ES"/>
        </w:rPr>
        <w:t>. Esto evidencia que</w:t>
      </w:r>
      <w:r w:rsidR="00805CBB">
        <w:rPr>
          <w:rFonts w:ascii="Times New Roman" w:hAnsi="Times New Roman" w:cs="Arial"/>
          <w:szCs w:val="23"/>
          <w:lang w:val="es-ES"/>
        </w:rPr>
        <w:t>,</w:t>
      </w:r>
      <w:r w:rsidRPr="00BA20B4">
        <w:rPr>
          <w:rFonts w:ascii="Times New Roman" w:hAnsi="Times New Roman" w:cs="Arial"/>
          <w:szCs w:val="23"/>
          <w:lang w:val="es-ES"/>
        </w:rPr>
        <w:t xml:space="preserve"> según las pruebas aplicadas</w:t>
      </w:r>
      <w:r w:rsidR="00805CBB">
        <w:rPr>
          <w:rFonts w:ascii="Times New Roman" w:hAnsi="Times New Roman" w:cs="Arial"/>
          <w:szCs w:val="23"/>
          <w:lang w:val="es-ES"/>
        </w:rPr>
        <w:t>,</w:t>
      </w:r>
      <w:r w:rsidRPr="00BA20B4">
        <w:rPr>
          <w:rFonts w:ascii="Times New Roman" w:hAnsi="Times New Roman" w:cs="Arial"/>
          <w:szCs w:val="23"/>
          <w:lang w:val="es-ES"/>
        </w:rPr>
        <w:t xml:space="preserve"> el nivel de aprendizaje es medio, lo cual se observa tanto en los colegios oficiales como en los privados</w:t>
      </w:r>
      <w:r w:rsidR="00801725">
        <w:rPr>
          <w:rFonts w:ascii="Times New Roman" w:hAnsi="Times New Roman" w:cs="Arial"/>
          <w:szCs w:val="23"/>
          <w:lang w:val="es-ES"/>
        </w:rPr>
        <w:t xml:space="preserve">, que a pesar de </w:t>
      </w:r>
      <w:r w:rsidR="00C63BDA">
        <w:rPr>
          <w:rFonts w:ascii="Times New Roman" w:hAnsi="Times New Roman" w:cs="Arial"/>
          <w:szCs w:val="23"/>
          <w:lang w:val="es-ES"/>
        </w:rPr>
        <w:t>tener valores promedio superiores,</w:t>
      </w:r>
      <w:r w:rsidR="00801725">
        <w:rPr>
          <w:rFonts w:ascii="Times New Roman" w:hAnsi="Times New Roman" w:cs="Arial"/>
          <w:szCs w:val="23"/>
          <w:lang w:val="es-ES"/>
        </w:rPr>
        <w:t xml:space="preserve"> tampoco obtienen resultados altos</w:t>
      </w:r>
      <w:r w:rsidR="00CF673F">
        <w:rPr>
          <w:rFonts w:ascii="Times New Roman" w:hAnsi="Times New Roman" w:cs="Arial"/>
          <w:szCs w:val="23"/>
          <w:lang w:val="es-ES"/>
        </w:rPr>
        <w:t xml:space="preserve"> </w:t>
      </w:r>
      <w:r w:rsidR="00801725">
        <w:rPr>
          <w:rFonts w:ascii="Times New Roman" w:hAnsi="Times New Roman" w:cs="Arial"/>
          <w:szCs w:val="23"/>
          <w:lang w:val="es-ES"/>
        </w:rPr>
        <w:t xml:space="preserve">y las diferencias con los colegios públicos </w:t>
      </w:r>
      <w:r w:rsidR="00892153">
        <w:rPr>
          <w:rFonts w:ascii="Times New Roman" w:hAnsi="Times New Roman" w:cs="Arial"/>
          <w:szCs w:val="23"/>
          <w:lang w:val="es-ES"/>
        </w:rPr>
        <w:t>son de unos pocos puntos</w:t>
      </w:r>
      <w:r w:rsidR="00801725">
        <w:rPr>
          <w:rFonts w:ascii="Times New Roman" w:hAnsi="Times New Roman" w:cs="Arial"/>
          <w:szCs w:val="23"/>
          <w:lang w:val="es-ES"/>
        </w:rPr>
        <w:t xml:space="preserve">: </w:t>
      </w:r>
      <w:r w:rsidRPr="00BA20B4">
        <w:rPr>
          <w:rFonts w:ascii="Times New Roman" w:hAnsi="Times New Roman" w:cs="Arial"/>
          <w:szCs w:val="23"/>
          <w:lang w:val="es-ES"/>
        </w:rPr>
        <w:t>la mayor brecha se encuentra en las áreas de inglés (3,2%), matemáticas (2,5%), ciencias sociales (2,3%), y lenguaje (2,2%). Las cifras muestran que aún en los colegios privados</w:t>
      </w:r>
      <w:r w:rsidR="00CF673F">
        <w:rPr>
          <w:rFonts w:ascii="Times New Roman" w:hAnsi="Times New Roman" w:cs="Arial"/>
          <w:szCs w:val="23"/>
          <w:lang w:val="es-ES"/>
        </w:rPr>
        <w:t xml:space="preserve"> </w:t>
      </w:r>
      <w:r w:rsidRPr="00BA20B4">
        <w:rPr>
          <w:rFonts w:ascii="Times New Roman" w:hAnsi="Times New Roman" w:cs="Arial"/>
          <w:szCs w:val="23"/>
          <w:lang w:val="es-ES"/>
        </w:rPr>
        <w:t>no está generando resultados significativamente mejores</w:t>
      </w:r>
      <w:r w:rsidR="004841D2">
        <w:rPr>
          <w:rFonts w:ascii="Times New Roman" w:hAnsi="Times New Roman" w:cs="Arial"/>
          <w:szCs w:val="23"/>
          <w:lang w:val="es-ES"/>
        </w:rPr>
        <w:t xml:space="preserve"> en el agregado</w:t>
      </w:r>
      <w:r w:rsidRPr="00BA20B4">
        <w:rPr>
          <w:rFonts w:ascii="Times New Roman" w:hAnsi="Times New Roman" w:cs="Arial"/>
          <w:szCs w:val="23"/>
          <w:lang w:val="es-ES"/>
        </w:rPr>
        <w:t>.</w:t>
      </w:r>
    </w:p>
    <w:p w:rsidR="001278D6" w:rsidRDefault="001278D6" w:rsidP="00A97851">
      <w:pPr>
        <w:autoSpaceDE w:val="0"/>
        <w:autoSpaceDN w:val="0"/>
        <w:adjustRightInd w:val="0"/>
        <w:jc w:val="both"/>
        <w:rPr>
          <w:rFonts w:ascii="Times New Roman" w:hAnsi="Times New Roman" w:cs="Arial"/>
          <w:szCs w:val="23"/>
          <w:lang w:val="es-ES"/>
        </w:rPr>
      </w:pPr>
    </w:p>
    <w:p w:rsidR="001278D6" w:rsidRPr="001278D6" w:rsidRDefault="008A1FB4" w:rsidP="001278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szCs w:val="133"/>
        </w:rPr>
      </w:pPr>
      <w:r w:rsidRPr="008A1FB4">
        <w:rPr>
          <w:rFonts w:ascii="Times New Roman" w:hAnsi="Times New Roman"/>
        </w:rPr>
        <w:t>Utilizando la clasificación de resultados del ICFES que considera bajo a las notas inferiores a 30 puntos, medio a los resultados entre 31 y 70 y alto a mayor que 70, y considerando que el ideal sería que todos los estudiantes deberían estar en la categorí</w:t>
      </w:r>
      <w:r w:rsidR="00612D28">
        <w:rPr>
          <w:rFonts w:ascii="Times New Roman" w:hAnsi="Times New Roman"/>
        </w:rPr>
        <w:t>a alta</w:t>
      </w:r>
      <w:r w:rsidR="00C11F48">
        <w:rPr>
          <w:rStyle w:val="Refdenotaalpie"/>
          <w:rFonts w:ascii="Times New Roman" w:hAnsi="Times New Roman"/>
        </w:rPr>
        <w:footnoteReference w:id="51"/>
      </w:r>
      <w:r w:rsidR="00612D28">
        <w:rPr>
          <w:rFonts w:ascii="Times New Roman" w:hAnsi="Times New Roman"/>
        </w:rPr>
        <w:t xml:space="preserve">, los datos son </w:t>
      </w:r>
      <w:r w:rsidRPr="008A1FB4">
        <w:rPr>
          <w:rFonts w:ascii="Times New Roman" w:hAnsi="Times New Roman"/>
        </w:rPr>
        <w:t xml:space="preserve"> más pre</w:t>
      </w:r>
      <w:r w:rsidR="00CA4172">
        <w:rPr>
          <w:rFonts w:ascii="Times New Roman" w:hAnsi="Times New Roman"/>
        </w:rPr>
        <w:t>ocupantes. De acuerdo con la Secretaría de Educación</w:t>
      </w:r>
      <w:r w:rsidR="00612D28">
        <w:rPr>
          <w:rStyle w:val="Refdenotaalpie"/>
          <w:rFonts w:ascii="Times New Roman" w:hAnsi="Times New Roman" w:cs="Arial"/>
          <w:szCs w:val="23"/>
          <w:lang w:val="es-ES"/>
        </w:rPr>
        <w:footnoteReference w:id="52"/>
      </w:r>
      <w:r w:rsidRPr="008A1FB4">
        <w:rPr>
          <w:rFonts w:ascii="Times New Roman" w:hAnsi="Times New Roman"/>
        </w:rPr>
        <w:t xml:space="preserve">, </w:t>
      </w:r>
      <w:r w:rsidRPr="008A1FB4">
        <w:rPr>
          <w:rFonts w:ascii="Times New Roman" w:hAnsi="Times New Roman" w:cs="Helvetica"/>
          <w:szCs w:val="34"/>
        </w:rPr>
        <w:t>muy pocos estudiantes</w:t>
      </w:r>
      <w:r w:rsidR="00067324">
        <w:rPr>
          <w:rFonts w:ascii="Times New Roman" w:hAnsi="Times New Roman" w:cs="Helvetica"/>
          <w:szCs w:val="34"/>
        </w:rPr>
        <w:t xml:space="preserve"> de colegios distritales</w:t>
      </w:r>
      <w:r w:rsidR="00CF673F">
        <w:rPr>
          <w:rFonts w:ascii="Times New Roman" w:hAnsi="Times New Roman" w:cs="Helvetica"/>
          <w:szCs w:val="34"/>
        </w:rPr>
        <w:t xml:space="preserve"> </w:t>
      </w:r>
      <w:r w:rsidRPr="008A1FB4">
        <w:rPr>
          <w:rFonts w:ascii="Times New Roman" w:hAnsi="Times New Roman" w:cs="Helvetica"/>
          <w:szCs w:val="34"/>
        </w:rPr>
        <w:t xml:space="preserve">se encuentran en categoría alta y una gran mayoría no supera los 50 puntos. Sobre 52.363 estudiantes, en lenguaje apenas 16 (0,03%), obtuvieron un resultado alto y el 70% estuvo por debajo de los 50 puntos. En física solamente 7 estudiantes (0,01%) clasificaron en alto y 83,4% no superó los 50 puntos; en matemáticas 299 estudiantes (0,57%) lograron una calificación alta y el 68% no superó los 50 puntos; en inglés 754 estudiantes (1,43%) obtuvieron notas altas y 88% no alcanzó los 50 puntos. </w:t>
      </w:r>
    </w:p>
    <w:p w:rsidR="001278D6" w:rsidRPr="00BA20B4" w:rsidRDefault="001278D6" w:rsidP="00A97851">
      <w:pPr>
        <w:autoSpaceDE w:val="0"/>
        <w:autoSpaceDN w:val="0"/>
        <w:adjustRightInd w:val="0"/>
        <w:jc w:val="both"/>
        <w:rPr>
          <w:rFonts w:ascii="Times New Roman" w:hAnsi="Times New Roman" w:cs="Arial"/>
          <w:szCs w:val="23"/>
          <w:lang w:val="es-ES"/>
        </w:rPr>
      </w:pPr>
    </w:p>
    <w:p w:rsidR="008E59EC" w:rsidRPr="0047185F" w:rsidRDefault="00586F01">
      <w:pPr>
        <w:autoSpaceDE w:val="0"/>
        <w:autoSpaceDN w:val="0"/>
        <w:adjustRightInd w:val="0"/>
        <w:jc w:val="center"/>
        <w:rPr>
          <w:rFonts w:ascii="Times New Roman" w:hAnsi="Times New Roman" w:cs="Arial"/>
          <w:b/>
          <w:color w:val="494949"/>
          <w:szCs w:val="23"/>
          <w:lang w:val="es-ES"/>
        </w:rPr>
      </w:pPr>
      <w:r>
        <w:rPr>
          <w:rFonts w:ascii="Times New Roman" w:hAnsi="Times New Roman" w:cs="Arial"/>
          <w:b/>
          <w:color w:val="494949"/>
          <w:szCs w:val="23"/>
          <w:lang w:val="es-ES"/>
        </w:rPr>
        <w:t>Gráfico 2</w:t>
      </w:r>
    </w:p>
    <w:p w:rsidR="0047185F" w:rsidRPr="00DB3F9F" w:rsidRDefault="004429CD" w:rsidP="00DB3F9F">
      <w:pPr>
        <w:autoSpaceDE w:val="0"/>
        <w:autoSpaceDN w:val="0"/>
        <w:adjustRightInd w:val="0"/>
        <w:jc w:val="center"/>
        <w:rPr>
          <w:rFonts w:ascii="Times New Roman" w:hAnsi="Times New Roman" w:cs="Arial"/>
          <w:color w:val="494949"/>
          <w:sz w:val="23"/>
          <w:szCs w:val="23"/>
          <w:lang w:val="es-ES"/>
        </w:rPr>
      </w:pPr>
      <w:r>
        <w:rPr>
          <w:rFonts w:eastAsia="KozGoPro-Bold" w:cs="LucidaSans"/>
          <w:noProof/>
          <w:lang w:val="es-ES" w:eastAsia="es-ES"/>
        </w:rPr>
        <w:drawing>
          <wp:inline distT="0" distB="0" distL="0" distR="0">
            <wp:extent cx="4665726" cy="2737104"/>
            <wp:effectExtent l="25400" t="25400" r="7874" b="6096"/>
            <wp:docPr id="1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185F" w:rsidRDefault="0047185F">
      <w:pPr>
        <w:autoSpaceDE w:val="0"/>
        <w:autoSpaceDN w:val="0"/>
        <w:adjustRightInd w:val="0"/>
        <w:jc w:val="center"/>
        <w:rPr>
          <w:rFonts w:ascii="Times New Roman" w:hAnsi="Times New Roman" w:cs="Arial"/>
          <w:b/>
          <w:color w:val="494949"/>
          <w:szCs w:val="23"/>
          <w:lang w:val="es-ES"/>
        </w:rPr>
      </w:pPr>
    </w:p>
    <w:p w:rsidR="00586F01" w:rsidRDefault="00586F01">
      <w:pPr>
        <w:autoSpaceDE w:val="0"/>
        <w:autoSpaceDN w:val="0"/>
        <w:adjustRightInd w:val="0"/>
        <w:jc w:val="center"/>
        <w:rPr>
          <w:rFonts w:ascii="Times New Roman" w:hAnsi="Times New Roman" w:cs="Arial"/>
          <w:b/>
          <w:color w:val="494949"/>
          <w:szCs w:val="23"/>
          <w:lang w:val="es-ES"/>
        </w:rPr>
      </w:pPr>
    </w:p>
    <w:p w:rsidR="008E59EC" w:rsidRPr="0047185F" w:rsidRDefault="00586F01">
      <w:pPr>
        <w:autoSpaceDE w:val="0"/>
        <w:autoSpaceDN w:val="0"/>
        <w:adjustRightInd w:val="0"/>
        <w:jc w:val="center"/>
        <w:rPr>
          <w:rFonts w:ascii="Times New Roman" w:hAnsi="Times New Roman" w:cs="Arial"/>
          <w:b/>
          <w:color w:val="494949"/>
          <w:szCs w:val="23"/>
          <w:lang w:val="es-ES"/>
        </w:rPr>
      </w:pPr>
      <w:r>
        <w:rPr>
          <w:rFonts w:ascii="Times New Roman" w:hAnsi="Times New Roman" w:cs="Arial"/>
          <w:b/>
          <w:color w:val="494949"/>
          <w:szCs w:val="23"/>
          <w:lang w:val="es-ES"/>
        </w:rPr>
        <w:t>Gráfico 3</w:t>
      </w:r>
    </w:p>
    <w:p w:rsidR="008E59EC" w:rsidRDefault="008E59EC">
      <w:pPr>
        <w:autoSpaceDE w:val="0"/>
        <w:autoSpaceDN w:val="0"/>
        <w:adjustRightInd w:val="0"/>
        <w:jc w:val="center"/>
        <w:rPr>
          <w:rFonts w:ascii="Times New Roman" w:hAnsi="Times New Roman" w:cs="Arial"/>
          <w:color w:val="494949"/>
          <w:sz w:val="23"/>
          <w:szCs w:val="23"/>
          <w:lang w:val="es-ES"/>
        </w:rPr>
      </w:pPr>
    </w:p>
    <w:p w:rsidR="008E59EC" w:rsidRDefault="00094021">
      <w:pPr>
        <w:autoSpaceDE w:val="0"/>
        <w:autoSpaceDN w:val="0"/>
        <w:adjustRightInd w:val="0"/>
        <w:jc w:val="center"/>
        <w:rPr>
          <w:rFonts w:ascii="Times New Roman" w:hAnsi="Times New Roman" w:cs="Arial"/>
          <w:color w:val="494949"/>
          <w:sz w:val="23"/>
          <w:szCs w:val="23"/>
          <w:lang w:val="es-ES"/>
        </w:rPr>
      </w:pPr>
      <w:r>
        <w:rPr>
          <w:rFonts w:eastAsia="KozGoPro-Bold" w:cs="LucidaSans"/>
          <w:noProof/>
          <w:lang w:val="es-ES" w:eastAsia="es-ES"/>
        </w:rPr>
        <w:drawing>
          <wp:inline distT="0" distB="0" distL="0" distR="0">
            <wp:extent cx="4572762" cy="2876050"/>
            <wp:effectExtent l="25400" t="25400" r="24638" b="0"/>
            <wp:docPr id="1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185F" w:rsidRDefault="0047185F" w:rsidP="00A97851">
      <w:pPr>
        <w:autoSpaceDE w:val="0"/>
        <w:autoSpaceDN w:val="0"/>
        <w:adjustRightInd w:val="0"/>
        <w:jc w:val="both"/>
        <w:rPr>
          <w:rFonts w:ascii="Times New Roman" w:hAnsi="Times New Roman" w:cs="Arial"/>
          <w:color w:val="494949"/>
          <w:sz w:val="23"/>
          <w:szCs w:val="23"/>
          <w:lang w:val="es-ES"/>
        </w:rPr>
      </w:pPr>
    </w:p>
    <w:p w:rsidR="00094021" w:rsidRPr="0047185F" w:rsidRDefault="00586F01" w:rsidP="0047185F">
      <w:pPr>
        <w:autoSpaceDE w:val="0"/>
        <w:autoSpaceDN w:val="0"/>
        <w:adjustRightInd w:val="0"/>
        <w:jc w:val="center"/>
        <w:rPr>
          <w:rFonts w:ascii="Times New Roman" w:hAnsi="Times New Roman" w:cs="Arial"/>
          <w:b/>
          <w:color w:val="494949"/>
          <w:szCs w:val="23"/>
          <w:lang w:val="es-ES"/>
        </w:rPr>
      </w:pPr>
      <w:r>
        <w:rPr>
          <w:rFonts w:ascii="Times New Roman" w:hAnsi="Times New Roman" w:cs="Arial"/>
          <w:b/>
          <w:color w:val="494949"/>
          <w:szCs w:val="23"/>
          <w:lang w:val="es-ES"/>
        </w:rPr>
        <w:t>Gráfico 4</w:t>
      </w:r>
    </w:p>
    <w:p w:rsidR="008E59EC" w:rsidRDefault="00094021">
      <w:pPr>
        <w:autoSpaceDE w:val="0"/>
        <w:autoSpaceDN w:val="0"/>
        <w:adjustRightInd w:val="0"/>
        <w:jc w:val="center"/>
        <w:rPr>
          <w:rFonts w:ascii="Times New Roman" w:hAnsi="Times New Roman" w:cs="Arial"/>
          <w:color w:val="494949"/>
          <w:sz w:val="23"/>
          <w:szCs w:val="23"/>
          <w:lang w:val="es-ES"/>
        </w:rPr>
      </w:pPr>
      <w:r>
        <w:rPr>
          <w:rFonts w:eastAsia="KozGoPro-Bold" w:cs="LucidaSans"/>
          <w:noProof/>
          <w:lang w:val="es-ES" w:eastAsia="es-ES"/>
        </w:rPr>
        <w:drawing>
          <wp:inline distT="0" distB="0" distL="0" distR="0">
            <wp:extent cx="3933967" cy="1995261"/>
            <wp:effectExtent l="10489" t="4354" r="5244" b="635"/>
            <wp:docPr id="17"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16E4" w:rsidRDefault="00FC16E4" w:rsidP="00A97851">
      <w:pPr>
        <w:autoSpaceDE w:val="0"/>
        <w:autoSpaceDN w:val="0"/>
        <w:adjustRightInd w:val="0"/>
        <w:jc w:val="both"/>
        <w:rPr>
          <w:rFonts w:ascii="Times New Roman" w:hAnsi="Times New Roman" w:cs="Arial"/>
          <w:szCs w:val="23"/>
          <w:lang w:val="es-ES"/>
        </w:rPr>
      </w:pPr>
    </w:p>
    <w:p w:rsidR="00151C52" w:rsidRDefault="00151C52" w:rsidP="00A97851">
      <w:pPr>
        <w:autoSpaceDE w:val="0"/>
        <w:autoSpaceDN w:val="0"/>
        <w:adjustRightInd w:val="0"/>
        <w:jc w:val="both"/>
        <w:rPr>
          <w:rFonts w:ascii="Times New Roman" w:hAnsi="Times New Roman" w:cs="Arial"/>
          <w:szCs w:val="23"/>
          <w:lang w:val="es-ES"/>
        </w:rPr>
      </w:pPr>
    </w:p>
    <w:p w:rsidR="00151C52" w:rsidRDefault="00151C52" w:rsidP="00A97851">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 xml:space="preserve">En el año 2011, apenas 28 colegios (públicos y privados) de Bogotá tuvieron un promedio superior a 70 puntos en el área de matemáticas (solamente 2 colegios superaron 80 puntos), y dentro de </w:t>
      </w:r>
      <w:r w:rsidR="00A529D0">
        <w:rPr>
          <w:rFonts w:ascii="Times New Roman" w:hAnsi="Times New Roman" w:cs="Arial"/>
          <w:szCs w:val="23"/>
          <w:lang w:val="es-ES"/>
        </w:rPr>
        <w:t>esos 28 solamente 1 era oficial</w:t>
      </w:r>
      <w:r w:rsidR="00C32E32">
        <w:rPr>
          <w:rFonts w:ascii="Times New Roman" w:hAnsi="Times New Roman" w:cs="Arial"/>
          <w:szCs w:val="23"/>
          <w:lang w:val="es-ES"/>
        </w:rPr>
        <w:t>. E</w:t>
      </w:r>
      <w:r>
        <w:rPr>
          <w:rFonts w:ascii="Times New Roman" w:hAnsi="Times New Roman" w:cs="Arial"/>
          <w:szCs w:val="23"/>
          <w:lang w:val="es-ES"/>
        </w:rPr>
        <w:t>n lenguaje ningún colegio supe</w:t>
      </w:r>
      <w:r w:rsidR="000A101E">
        <w:rPr>
          <w:rFonts w:ascii="Times New Roman" w:hAnsi="Times New Roman" w:cs="Arial"/>
          <w:szCs w:val="23"/>
          <w:lang w:val="es-ES"/>
        </w:rPr>
        <w:t xml:space="preserve">ró los 70 puntos, </w:t>
      </w:r>
      <w:r>
        <w:rPr>
          <w:rFonts w:ascii="Times New Roman" w:hAnsi="Times New Roman" w:cs="Arial"/>
          <w:szCs w:val="23"/>
          <w:lang w:val="es-ES"/>
        </w:rPr>
        <w:t>situación similar en las demás áreas consideradas en la prueba.</w:t>
      </w:r>
      <w:r w:rsidR="003F7A01">
        <w:rPr>
          <w:rFonts w:ascii="Times New Roman" w:hAnsi="Times New Roman" w:cs="Arial"/>
          <w:szCs w:val="23"/>
          <w:lang w:val="es-ES"/>
        </w:rPr>
        <w:t xml:space="preserve"> Sin embargo, dentro de cada grupo –públicos y privados- hay diferencias grandes; la mayoría de los colegios </w:t>
      </w:r>
      <w:r w:rsidR="00A529D0">
        <w:rPr>
          <w:rFonts w:ascii="Times New Roman" w:hAnsi="Times New Roman" w:cs="Arial"/>
          <w:szCs w:val="23"/>
          <w:lang w:val="es-ES"/>
        </w:rPr>
        <w:t xml:space="preserve">con los peores resultados </w:t>
      </w:r>
      <w:r w:rsidR="003F7A01">
        <w:rPr>
          <w:rFonts w:ascii="Times New Roman" w:hAnsi="Times New Roman" w:cs="Arial"/>
          <w:szCs w:val="23"/>
          <w:lang w:val="es-ES"/>
        </w:rPr>
        <w:t xml:space="preserve">son privados. En matemáticas, los promedios de los colegios privados van desde un máximo de 83 a un mínimo de 29 puntos y la mayoría no alcanza 50 puntos; en lenguaje el rango es de 67 a 38 puntos. En los colegios públicos, en matemáticas el rango va de un máximo de 70 a un mínimo de 38 puntos, y en lenguaje el rango es de 58 a 41. Estos datos señalan que hay un pequeño grupo de colegios, especialmente privados, </w:t>
      </w:r>
      <w:r w:rsidR="003F7A01">
        <w:rPr>
          <w:rFonts w:ascii="Times New Roman" w:hAnsi="Times New Roman" w:cs="Arial"/>
          <w:szCs w:val="23"/>
          <w:lang w:val="es-ES"/>
        </w:rPr>
        <w:lastRenderedPageBreak/>
        <w:t xml:space="preserve">que obtienen un promedio superior a 60 puntos, pero que aún así se trata de resultados medios frente al ideal esperado; adicionalmente, un conjunto muy grande obtiene resultados por debajo de 50 puntos. </w:t>
      </w:r>
    </w:p>
    <w:p w:rsidR="00151C52" w:rsidRDefault="00151C52" w:rsidP="00A97851">
      <w:pPr>
        <w:autoSpaceDE w:val="0"/>
        <w:autoSpaceDN w:val="0"/>
        <w:adjustRightInd w:val="0"/>
        <w:jc w:val="both"/>
        <w:rPr>
          <w:rFonts w:ascii="Times New Roman" w:hAnsi="Times New Roman" w:cs="Arial"/>
          <w:szCs w:val="23"/>
          <w:lang w:val="es-ES"/>
        </w:rPr>
      </w:pPr>
    </w:p>
    <w:p w:rsidR="00A26D08" w:rsidRDefault="00A97851" w:rsidP="00A97851">
      <w:pPr>
        <w:autoSpaceDE w:val="0"/>
        <w:autoSpaceDN w:val="0"/>
        <w:adjustRightInd w:val="0"/>
        <w:jc w:val="both"/>
        <w:rPr>
          <w:rFonts w:ascii="Times New Roman" w:hAnsi="Times New Roman" w:cs="Arial"/>
          <w:szCs w:val="23"/>
          <w:lang w:val="es-ES"/>
        </w:rPr>
      </w:pPr>
      <w:r w:rsidRPr="00BA20B4">
        <w:rPr>
          <w:rFonts w:ascii="Times New Roman" w:hAnsi="Times New Roman" w:cs="Arial"/>
          <w:szCs w:val="23"/>
          <w:lang w:val="es-ES"/>
        </w:rPr>
        <w:t>Los resultados en las pruebas SABER 5º y 9º</w:t>
      </w:r>
      <w:r w:rsidR="00D2763A">
        <w:rPr>
          <w:rStyle w:val="Refdenotaalpie"/>
          <w:rFonts w:ascii="Times New Roman" w:hAnsi="Times New Roman" w:cs="Arial"/>
          <w:szCs w:val="23"/>
          <w:lang w:val="es-ES"/>
        </w:rPr>
        <w:footnoteReference w:id="53"/>
      </w:r>
      <w:r w:rsidRPr="00BA20B4">
        <w:rPr>
          <w:rFonts w:ascii="Times New Roman" w:hAnsi="Times New Roman" w:cs="Arial"/>
          <w:szCs w:val="23"/>
          <w:lang w:val="es-ES"/>
        </w:rPr>
        <w:t xml:space="preserve">tampoco son muy alentadores. Las </w:t>
      </w:r>
      <w:r w:rsidR="00F959F8">
        <w:rPr>
          <w:rFonts w:ascii="Times New Roman" w:hAnsi="Times New Roman" w:cs="Arial"/>
          <w:szCs w:val="23"/>
          <w:lang w:val="es-ES"/>
        </w:rPr>
        <w:t>evaluaciones</w:t>
      </w:r>
      <w:r w:rsidRPr="00BA20B4">
        <w:rPr>
          <w:rFonts w:ascii="Times New Roman" w:hAnsi="Times New Roman" w:cs="Arial"/>
          <w:szCs w:val="23"/>
          <w:lang w:val="es-ES"/>
        </w:rPr>
        <w:t xml:space="preserve"> realizadas en el año 2009 para el grado 5º mostraban que los puntajes promedios obtenidos</w:t>
      </w:r>
      <w:r w:rsidR="00A529D0">
        <w:rPr>
          <w:rFonts w:ascii="Times New Roman" w:hAnsi="Times New Roman" w:cs="Arial"/>
          <w:szCs w:val="23"/>
          <w:lang w:val="es-ES"/>
        </w:rPr>
        <w:t xml:space="preserve"> por los estudiantes de colegios públicos y privados</w:t>
      </w:r>
      <w:r w:rsidRPr="00BA20B4">
        <w:rPr>
          <w:rFonts w:ascii="Times New Roman" w:hAnsi="Times New Roman" w:cs="Arial"/>
          <w:szCs w:val="23"/>
          <w:lang w:val="es-ES"/>
        </w:rPr>
        <w:t xml:space="preserve"> son casi iguales dentro de las áreas y que no superan el 63%</w:t>
      </w:r>
      <w:r w:rsidR="00956CCE">
        <w:rPr>
          <w:rFonts w:ascii="Times New Roman" w:hAnsi="Times New Roman" w:cs="Arial"/>
          <w:szCs w:val="23"/>
          <w:lang w:val="es-ES"/>
        </w:rPr>
        <w:t xml:space="preserve"> del puntaje máximo posible</w:t>
      </w:r>
      <w:r w:rsidRPr="00BA20B4">
        <w:rPr>
          <w:rFonts w:ascii="Times New Roman" w:hAnsi="Times New Roman" w:cs="Arial"/>
          <w:szCs w:val="23"/>
          <w:lang w:val="es-ES"/>
        </w:rPr>
        <w:t>. En el caso del grado 9º, los resultados son menores</w:t>
      </w:r>
      <w:r w:rsidRPr="00BA20B4">
        <w:rPr>
          <w:rFonts w:ascii="Times New Roman" w:hAnsi="Times New Roman" w:cs="Arial"/>
          <w:szCs w:val="23"/>
        </w:rPr>
        <w:t xml:space="preserve"> e</w:t>
      </w:r>
      <w:r w:rsidRPr="00BA20B4">
        <w:rPr>
          <w:rFonts w:ascii="Times New Roman" w:hAnsi="Times New Roman" w:cs="Arial"/>
          <w:szCs w:val="23"/>
          <w:lang w:val="es-ES"/>
        </w:rPr>
        <w:t xml:space="preserve"> igualmente medios. </w:t>
      </w:r>
    </w:p>
    <w:p w:rsidR="00346EFB" w:rsidRPr="00BA20B4" w:rsidRDefault="00346EFB" w:rsidP="00A97851">
      <w:pPr>
        <w:autoSpaceDE w:val="0"/>
        <w:autoSpaceDN w:val="0"/>
        <w:adjustRightInd w:val="0"/>
        <w:jc w:val="both"/>
        <w:rPr>
          <w:rFonts w:ascii="Times New Roman" w:hAnsi="Times New Roman" w:cs="Arial"/>
          <w:szCs w:val="23"/>
          <w:lang w:val="es-ES"/>
        </w:rPr>
      </w:pPr>
    </w:p>
    <w:p w:rsidR="00A97851" w:rsidRPr="0047185F" w:rsidRDefault="0047185F" w:rsidP="0047185F">
      <w:pPr>
        <w:autoSpaceDE w:val="0"/>
        <w:autoSpaceDN w:val="0"/>
        <w:adjustRightInd w:val="0"/>
        <w:jc w:val="center"/>
        <w:rPr>
          <w:rFonts w:ascii="Times New Roman" w:hAnsi="Times New Roman" w:cs="Arial"/>
          <w:b/>
          <w:szCs w:val="23"/>
          <w:lang w:val="es-ES"/>
        </w:rPr>
      </w:pPr>
      <w:r w:rsidRPr="0047185F">
        <w:rPr>
          <w:rFonts w:ascii="Times New Roman" w:hAnsi="Times New Roman" w:cs="Arial"/>
          <w:b/>
          <w:szCs w:val="23"/>
        </w:rPr>
        <w:t xml:space="preserve">Tabla 3. </w:t>
      </w:r>
      <w:r w:rsidR="00346EFB" w:rsidRPr="0047185F">
        <w:rPr>
          <w:rFonts w:ascii="Times New Roman" w:hAnsi="Times New Roman" w:cs="Arial"/>
          <w:b/>
          <w:szCs w:val="23"/>
        </w:rPr>
        <w:t>Promedios por área y grado evaluado. Pruebas SABER 5o y 9o año 2009</w:t>
      </w:r>
    </w:p>
    <w:tbl>
      <w:tblPr>
        <w:tblStyle w:val="Tablaconcuadrcula"/>
        <w:tblW w:w="0" w:type="auto"/>
        <w:tblLook w:val="00A0" w:firstRow="1" w:lastRow="0" w:firstColumn="1" w:lastColumn="0" w:noHBand="0" w:noVBand="0"/>
      </w:tblPr>
      <w:tblGrid>
        <w:gridCol w:w="1275"/>
        <w:gridCol w:w="1274"/>
        <w:gridCol w:w="1340"/>
        <w:gridCol w:w="1275"/>
        <w:gridCol w:w="1275"/>
        <w:gridCol w:w="1340"/>
        <w:gridCol w:w="1275"/>
      </w:tblGrid>
      <w:tr w:rsidR="000D0591">
        <w:trPr>
          <w:trHeight w:val="200"/>
        </w:trPr>
        <w:tc>
          <w:tcPr>
            <w:tcW w:w="1282" w:type="dxa"/>
            <w:vMerge w:val="restart"/>
          </w:tcPr>
          <w:p w:rsidR="000D0591" w:rsidRDefault="000D0591"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Sector</w:t>
            </w:r>
          </w:p>
        </w:tc>
        <w:tc>
          <w:tcPr>
            <w:tcW w:w="3847" w:type="dxa"/>
            <w:gridSpan w:val="3"/>
            <w:tcBorders>
              <w:bottom w:val="single" w:sz="4" w:space="0" w:color="auto"/>
            </w:tcBorders>
          </w:tcPr>
          <w:p w:rsidR="000D0591" w:rsidRDefault="000D0591" w:rsidP="000D0591">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Grado 5º</w:t>
            </w:r>
          </w:p>
          <w:p w:rsidR="000D0591" w:rsidRDefault="000D0591" w:rsidP="000D0591">
            <w:pPr>
              <w:autoSpaceDE w:val="0"/>
              <w:autoSpaceDN w:val="0"/>
              <w:adjustRightInd w:val="0"/>
              <w:jc w:val="center"/>
              <w:rPr>
                <w:rFonts w:ascii="Times New Roman" w:hAnsi="Times New Roman" w:cs="Arial"/>
                <w:szCs w:val="23"/>
                <w:lang w:val="es-ES"/>
              </w:rPr>
            </w:pPr>
          </w:p>
        </w:tc>
        <w:tc>
          <w:tcPr>
            <w:tcW w:w="3849" w:type="dxa"/>
            <w:gridSpan w:val="3"/>
            <w:tcBorders>
              <w:bottom w:val="single" w:sz="4" w:space="0" w:color="auto"/>
            </w:tcBorders>
          </w:tcPr>
          <w:p w:rsidR="000D0591" w:rsidRDefault="000D0591" w:rsidP="000D0591">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Grado 9º</w:t>
            </w:r>
          </w:p>
          <w:p w:rsidR="000D0591" w:rsidRDefault="000D0591" w:rsidP="000D0591">
            <w:pPr>
              <w:autoSpaceDE w:val="0"/>
              <w:autoSpaceDN w:val="0"/>
              <w:adjustRightInd w:val="0"/>
              <w:jc w:val="center"/>
              <w:rPr>
                <w:rFonts w:ascii="Times New Roman" w:hAnsi="Times New Roman" w:cs="Arial"/>
                <w:szCs w:val="23"/>
                <w:lang w:val="es-ES"/>
              </w:rPr>
            </w:pPr>
          </w:p>
        </w:tc>
      </w:tr>
      <w:tr w:rsidR="000D0591">
        <w:trPr>
          <w:trHeight w:val="560"/>
        </w:trPr>
        <w:tc>
          <w:tcPr>
            <w:tcW w:w="1282" w:type="dxa"/>
            <w:vMerge/>
          </w:tcPr>
          <w:p w:rsidR="000D0591" w:rsidRDefault="000D0591" w:rsidP="005A5B0C">
            <w:pPr>
              <w:autoSpaceDE w:val="0"/>
              <w:autoSpaceDN w:val="0"/>
              <w:adjustRightInd w:val="0"/>
              <w:jc w:val="both"/>
              <w:rPr>
                <w:rFonts w:ascii="Times New Roman" w:hAnsi="Times New Roman" w:cs="Arial"/>
                <w:szCs w:val="23"/>
                <w:lang w:val="es-ES"/>
              </w:rPr>
            </w:pPr>
          </w:p>
        </w:tc>
        <w:tc>
          <w:tcPr>
            <w:tcW w:w="1282" w:type="dxa"/>
            <w:tcBorders>
              <w:top w:val="single" w:sz="4" w:space="0" w:color="auto"/>
            </w:tcBorders>
          </w:tcPr>
          <w:p w:rsidR="000D0591" w:rsidRDefault="000D0591"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Lenguaje</w:t>
            </w:r>
          </w:p>
        </w:tc>
        <w:tc>
          <w:tcPr>
            <w:tcW w:w="1282" w:type="dxa"/>
            <w:tcBorders>
              <w:top w:val="single" w:sz="4" w:space="0" w:color="auto"/>
            </w:tcBorders>
          </w:tcPr>
          <w:p w:rsidR="000D0591" w:rsidRDefault="000D0591"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Matemáticas</w:t>
            </w:r>
          </w:p>
        </w:tc>
        <w:tc>
          <w:tcPr>
            <w:tcW w:w="1283" w:type="dxa"/>
            <w:tcBorders>
              <w:top w:val="single" w:sz="4" w:space="0" w:color="auto"/>
            </w:tcBorders>
          </w:tcPr>
          <w:p w:rsidR="000D0591" w:rsidRDefault="000D0591"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Ciencias Naturales</w:t>
            </w:r>
          </w:p>
        </w:tc>
        <w:tc>
          <w:tcPr>
            <w:tcW w:w="1283" w:type="dxa"/>
            <w:tcBorders>
              <w:top w:val="single" w:sz="4" w:space="0" w:color="auto"/>
            </w:tcBorders>
          </w:tcPr>
          <w:p w:rsidR="000D0591" w:rsidRDefault="000D0591"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Lenguaje</w:t>
            </w:r>
          </w:p>
        </w:tc>
        <w:tc>
          <w:tcPr>
            <w:tcW w:w="1283" w:type="dxa"/>
            <w:tcBorders>
              <w:top w:val="single" w:sz="4" w:space="0" w:color="auto"/>
            </w:tcBorders>
          </w:tcPr>
          <w:p w:rsidR="000D0591" w:rsidRDefault="000D0591"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Matemáticas</w:t>
            </w:r>
          </w:p>
        </w:tc>
        <w:tc>
          <w:tcPr>
            <w:tcW w:w="1283" w:type="dxa"/>
            <w:tcBorders>
              <w:top w:val="single" w:sz="4" w:space="0" w:color="auto"/>
            </w:tcBorders>
          </w:tcPr>
          <w:p w:rsidR="000D0591" w:rsidRDefault="000D0591"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Ciencias Naturales</w:t>
            </w:r>
          </w:p>
        </w:tc>
      </w:tr>
      <w:tr w:rsidR="000D0591">
        <w:tc>
          <w:tcPr>
            <w:tcW w:w="1282" w:type="dxa"/>
          </w:tcPr>
          <w:p w:rsidR="000D0591" w:rsidRDefault="00285C58"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Colegios oficiales distritales de Bogotá</w:t>
            </w:r>
          </w:p>
        </w:tc>
        <w:tc>
          <w:tcPr>
            <w:tcW w:w="1282"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311</w:t>
            </w:r>
          </w:p>
        </w:tc>
        <w:tc>
          <w:tcPr>
            <w:tcW w:w="1282"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310</w:t>
            </w:r>
          </w:p>
        </w:tc>
        <w:tc>
          <w:tcPr>
            <w:tcW w:w="1283"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308</w:t>
            </w:r>
          </w:p>
        </w:tc>
        <w:tc>
          <w:tcPr>
            <w:tcW w:w="1283"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306</w:t>
            </w:r>
          </w:p>
        </w:tc>
        <w:tc>
          <w:tcPr>
            <w:tcW w:w="1283"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306</w:t>
            </w:r>
          </w:p>
        </w:tc>
        <w:tc>
          <w:tcPr>
            <w:tcW w:w="1283"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302</w:t>
            </w:r>
          </w:p>
        </w:tc>
      </w:tr>
      <w:tr w:rsidR="000D0591">
        <w:tc>
          <w:tcPr>
            <w:tcW w:w="1282" w:type="dxa"/>
          </w:tcPr>
          <w:p w:rsidR="000D0591" w:rsidRDefault="00285C58" w:rsidP="005A5B0C">
            <w:pPr>
              <w:autoSpaceDE w:val="0"/>
              <w:autoSpaceDN w:val="0"/>
              <w:adjustRightInd w:val="0"/>
              <w:jc w:val="both"/>
              <w:rPr>
                <w:rFonts w:ascii="Times New Roman" w:hAnsi="Times New Roman" w:cs="Arial"/>
                <w:szCs w:val="23"/>
                <w:lang w:val="es-ES"/>
              </w:rPr>
            </w:pPr>
            <w:r>
              <w:rPr>
                <w:rFonts w:ascii="Times New Roman" w:hAnsi="Times New Roman" w:cs="Arial"/>
                <w:szCs w:val="23"/>
                <w:lang w:val="es-ES"/>
              </w:rPr>
              <w:t>Colombia sin Bogotá</w:t>
            </w:r>
          </w:p>
        </w:tc>
        <w:tc>
          <w:tcPr>
            <w:tcW w:w="1282"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286</w:t>
            </w:r>
          </w:p>
        </w:tc>
        <w:tc>
          <w:tcPr>
            <w:tcW w:w="1282"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285</w:t>
            </w:r>
          </w:p>
        </w:tc>
        <w:tc>
          <w:tcPr>
            <w:tcW w:w="1283"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287</w:t>
            </w:r>
          </w:p>
        </w:tc>
        <w:tc>
          <w:tcPr>
            <w:tcW w:w="1283"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284</w:t>
            </w:r>
          </w:p>
        </w:tc>
        <w:tc>
          <w:tcPr>
            <w:tcW w:w="1283"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287</w:t>
            </w:r>
          </w:p>
        </w:tc>
        <w:tc>
          <w:tcPr>
            <w:tcW w:w="1283" w:type="dxa"/>
          </w:tcPr>
          <w:p w:rsidR="000D0591" w:rsidRDefault="00285C58" w:rsidP="00285C58">
            <w:pPr>
              <w:autoSpaceDE w:val="0"/>
              <w:autoSpaceDN w:val="0"/>
              <w:adjustRightInd w:val="0"/>
              <w:jc w:val="center"/>
              <w:rPr>
                <w:rFonts w:ascii="Times New Roman" w:hAnsi="Times New Roman" w:cs="Arial"/>
                <w:szCs w:val="23"/>
                <w:lang w:val="es-ES"/>
              </w:rPr>
            </w:pPr>
            <w:r>
              <w:rPr>
                <w:rFonts w:ascii="Times New Roman" w:hAnsi="Times New Roman" w:cs="Arial"/>
                <w:szCs w:val="23"/>
                <w:lang w:val="es-ES"/>
              </w:rPr>
              <w:t>285</w:t>
            </w:r>
          </w:p>
        </w:tc>
      </w:tr>
    </w:tbl>
    <w:p w:rsidR="000D0591" w:rsidRPr="006F172D" w:rsidRDefault="00346EFB" w:rsidP="005A5B0C">
      <w:pPr>
        <w:autoSpaceDE w:val="0"/>
        <w:autoSpaceDN w:val="0"/>
        <w:adjustRightInd w:val="0"/>
        <w:jc w:val="both"/>
        <w:rPr>
          <w:rFonts w:ascii="Times New Roman" w:hAnsi="Times New Roman" w:cs="Arial"/>
          <w:sz w:val="18"/>
          <w:szCs w:val="23"/>
          <w:lang w:val="es-ES"/>
        </w:rPr>
      </w:pPr>
      <w:r w:rsidRPr="006F172D">
        <w:rPr>
          <w:rFonts w:ascii="Times New Roman" w:hAnsi="Times New Roman" w:cs="Arial"/>
          <w:sz w:val="18"/>
          <w:szCs w:val="23"/>
          <w:lang w:val="es-ES"/>
        </w:rPr>
        <w:t>Fuente: SEICE, 2011, tabla 11, página 52.</w:t>
      </w:r>
    </w:p>
    <w:p w:rsidR="005A5B0C" w:rsidRDefault="005A5B0C" w:rsidP="005A5B0C">
      <w:pPr>
        <w:jc w:val="both"/>
        <w:rPr>
          <w:rFonts w:ascii="Times New Roman" w:hAnsi="Times New Roman"/>
        </w:rPr>
      </w:pPr>
    </w:p>
    <w:p w:rsidR="00A26D08" w:rsidRDefault="00A26D08" w:rsidP="005A5B0C">
      <w:pPr>
        <w:jc w:val="both"/>
        <w:rPr>
          <w:rFonts w:ascii="Times New Roman" w:hAnsi="Times New Roman"/>
        </w:rPr>
      </w:pPr>
      <w:r>
        <w:rPr>
          <w:rFonts w:ascii="Times New Roman" w:hAnsi="Times New Roman"/>
        </w:rPr>
        <w:t>En grado 5º el 67% de los estudiantes se encontraba en los niveles insuficiente y básico, el 64% en matemáticas y 53% en lenguaje; considerando que idealmente la mayoría de estudiantes debería estar en nivel satisfactorio estos datos son preocupantes. Lo mismo ocurre en el grado 9%  donde el 66% de los estudiantes se encontraba en los niveles insuficiente y básico, el 74% en matemáticas y 54% en lenguaje. En los dos grados y en las tres áreas los estudiantes de colegios privados obtuvieron siempre resultados superiores.</w:t>
      </w:r>
    </w:p>
    <w:p w:rsidR="00326F69" w:rsidRDefault="00326F69" w:rsidP="005A5B0C">
      <w:pPr>
        <w:jc w:val="both"/>
        <w:rPr>
          <w:rFonts w:ascii="Times New Roman" w:hAnsi="Times New Roman"/>
        </w:rPr>
      </w:pPr>
    </w:p>
    <w:p w:rsidR="00326F69" w:rsidRPr="00831D56" w:rsidRDefault="005131FD" w:rsidP="00326F69">
      <w:pPr>
        <w:jc w:val="both"/>
        <w:rPr>
          <w:rFonts w:ascii="Times New Roman" w:hAnsi="Times New Roman"/>
        </w:rPr>
      </w:pPr>
      <w:r>
        <w:rPr>
          <w:rFonts w:ascii="Times New Roman" w:hAnsi="Times New Roman"/>
        </w:rPr>
        <w:t>L</w:t>
      </w:r>
      <w:r w:rsidR="00326F69" w:rsidRPr="00831D56">
        <w:rPr>
          <w:rFonts w:ascii="Times New Roman" w:hAnsi="Times New Roman"/>
        </w:rPr>
        <w:t>a evaluac</w:t>
      </w:r>
      <w:r>
        <w:rPr>
          <w:rFonts w:ascii="Times New Roman" w:hAnsi="Times New Roman"/>
        </w:rPr>
        <w:t>ión integral de los colegios</w:t>
      </w:r>
      <w:r>
        <w:rPr>
          <w:rStyle w:val="Refdenotaalpie"/>
          <w:rFonts w:ascii="Times New Roman" w:hAnsi="Times New Roman"/>
        </w:rPr>
        <w:footnoteReference w:id="54"/>
      </w:r>
      <w:r w:rsidR="00326F69" w:rsidRPr="00831D56">
        <w:rPr>
          <w:rFonts w:ascii="Times New Roman" w:hAnsi="Times New Roman"/>
        </w:rPr>
        <w:t xml:space="preserve"> muestra que en 2010-2011 la calificación obtenida fu</w:t>
      </w:r>
      <w:r w:rsidR="00326F69">
        <w:rPr>
          <w:rFonts w:ascii="Times New Roman" w:hAnsi="Times New Roman"/>
        </w:rPr>
        <w:t xml:space="preserve">e baja, con un máximo de 51,3% </w:t>
      </w:r>
      <w:r w:rsidR="00326F69" w:rsidRPr="00831D56">
        <w:rPr>
          <w:rFonts w:ascii="Times New Roman" w:hAnsi="Times New Roman"/>
        </w:rPr>
        <w:t>en el caso del componente de gestión pedagógica y de apenas 43,5% en el caso de infraestructura.</w:t>
      </w:r>
      <w:r w:rsidR="00326F69">
        <w:rPr>
          <w:rFonts w:ascii="Times New Roman" w:hAnsi="Times New Roman"/>
        </w:rPr>
        <w:t xml:space="preserve"> Considerando que la evaluación integral </w:t>
      </w:r>
      <w:r w:rsidR="00455FB9">
        <w:rPr>
          <w:rFonts w:ascii="Times New Roman" w:hAnsi="Times New Roman"/>
        </w:rPr>
        <w:t>consolida</w:t>
      </w:r>
      <w:r w:rsidR="00326F69">
        <w:rPr>
          <w:rFonts w:ascii="Times New Roman" w:hAnsi="Times New Roman"/>
        </w:rPr>
        <w:t xml:space="preserve"> un conjunto de variables relativas a los insumos y procesos educativos, estos datos estarían indicando que la educación oficial aunque ha logrado avances muy importantes, todavía se encuentra en su conjunto en un nivel de calidad del servicio medio.</w:t>
      </w:r>
    </w:p>
    <w:p w:rsidR="00326F69" w:rsidRPr="0062741E" w:rsidRDefault="00326F69" w:rsidP="00326F69">
      <w:pPr>
        <w:jc w:val="both"/>
        <w:rPr>
          <w:rFonts w:ascii="Times New Roman" w:hAnsi="Times New Roman"/>
        </w:rPr>
      </w:pPr>
    </w:p>
    <w:p w:rsidR="005131FD" w:rsidRDefault="005131FD" w:rsidP="00326F69">
      <w:pPr>
        <w:jc w:val="both"/>
        <w:rPr>
          <w:rFonts w:ascii="Times New Roman" w:hAnsi="Times New Roman"/>
        </w:rPr>
      </w:pPr>
    </w:p>
    <w:p w:rsidR="00455FB9" w:rsidRDefault="00455FB9" w:rsidP="00326F69">
      <w:pPr>
        <w:jc w:val="both"/>
        <w:rPr>
          <w:rFonts w:ascii="Times New Roman" w:hAnsi="Times New Roman"/>
        </w:rPr>
      </w:pPr>
    </w:p>
    <w:p w:rsidR="00326F69" w:rsidRPr="0062741E" w:rsidRDefault="00326F69" w:rsidP="00326F69">
      <w:pPr>
        <w:jc w:val="both"/>
        <w:rPr>
          <w:rFonts w:ascii="Times New Roman" w:hAnsi="Times New Roman"/>
        </w:rPr>
      </w:pPr>
    </w:p>
    <w:p w:rsidR="00326F69" w:rsidRPr="0057281C" w:rsidRDefault="00E8193D" w:rsidP="00326F69">
      <w:pPr>
        <w:jc w:val="center"/>
        <w:rPr>
          <w:rFonts w:ascii="Times New Roman" w:hAnsi="Times New Roman" w:cs="Franklin Gothic Book"/>
          <w:b/>
          <w:color w:val="000000"/>
          <w:sz w:val="22"/>
          <w:szCs w:val="22"/>
        </w:rPr>
      </w:pPr>
      <w:r>
        <w:rPr>
          <w:rFonts w:ascii="Times New Roman" w:hAnsi="Times New Roman" w:cs="Franklin Gothic Book"/>
          <w:b/>
          <w:color w:val="000000"/>
          <w:sz w:val="22"/>
          <w:szCs w:val="22"/>
        </w:rPr>
        <w:t xml:space="preserve">Tabla </w:t>
      </w:r>
      <w:r w:rsidR="00586F01">
        <w:rPr>
          <w:rFonts w:ascii="Times New Roman" w:hAnsi="Times New Roman" w:cs="Franklin Gothic Book"/>
          <w:b/>
          <w:color w:val="000000"/>
          <w:sz w:val="22"/>
          <w:szCs w:val="22"/>
        </w:rPr>
        <w:t>4</w:t>
      </w:r>
      <w:r w:rsidR="00326F69" w:rsidRPr="0057281C">
        <w:rPr>
          <w:rFonts w:ascii="Times New Roman" w:hAnsi="Times New Roman" w:cs="Franklin Gothic Book"/>
          <w:b/>
          <w:color w:val="000000"/>
          <w:sz w:val="22"/>
          <w:szCs w:val="22"/>
        </w:rPr>
        <w:t>. Resultados Evaluación Integral 2010-2011</w:t>
      </w:r>
    </w:p>
    <w:tbl>
      <w:tblPr>
        <w:tblStyle w:val="Tablaconcuadrcula"/>
        <w:tblW w:w="0" w:type="auto"/>
        <w:tblLook w:val="00A0" w:firstRow="1" w:lastRow="0" w:firstColumn="1" w:lastColumn="0" w:noHBand="0" w:noVBand="0"/>
      </w:tblPr>
      <w:tblGrid>
        <w:gridCol w:w="2159"/>
        <w:gridCol w:w="2159"/>
        <w:gridCol w:w="2160"/>
        <w:gridCol w:w="2160"/>
      </w:tblGrid>
      <w:tr w:rsidR="00326F69" w:rsidRPr="0062741E">
        <w:tc>
          <w:tcPr>
            <w:tcW w:w="2159" w:type="dxa"/>
          </w:tcPr>
          <w:p w:rsidR="00326F69" w:rsidRPr="0062741E" w:rsidRDefault="00326F69" w:rsidP="00B91D70">
            <w:pPr>
              <w:rPr>
                <w:rFonts w:ascii="Times New Roman" w:hAnsi="Times New Roman"/>
              </w:rPr>
            </w:pPr>
            <w:r w:rsidRPr="00383402">
              <w:rPr>
                <w:rFonts w:ascii="Times New Roman" w:hAnsi="Times New Roman"/>
              </w:rPr>
              <w:t>Componente</w:t>
            </w:r>
          </w:p>
        </w:tc>
        <w:tc>
          <w:tcPr>
            <w:tcW w:w="2159" w:type="dxa"/>
          </w:tcPr>
          <w:p w:rsidR="00326F69" w:rsidRPr="0062741E" w:rsidRDefault="00326F69" w:rsidP="00B91D70">
            <w:pPr>
              <w:rPr>
                <w:rFonts w:ascii="Times New Roman" w:hAnsi="Times New Roman"/>
              </w:rPr>
            </w:pPr>
            <w:r w:rsidRPr="00383402">
              <w:rPr>
                <w:rFonts w:ascii="Times New Roman" w:hAnsi="Times New Roman"/>
              </w:rPr>
              <w:t>Puntaje logrado</w:t>
            </w:r>
          </w:p>
        </w:tc>
        <w:tc>
          <w:tcPr>
            <w:tcW w:w="2160" w:type="dxa"/>
          </w:tcPr>
          <w:p w:rsidR="00326F69" w:rsidRPr="0062741E" w:rsidRDefault="00326F69" w:rsidP="00B91D70">
            <w:pPr>
              <w:rPr>
                <w:rFonts w:ascii="Times New Roman" w:hAnsi="Times New Roman"/>
              </w:rPr>
            </w:pPr>
            <w:r w:rsidRPr="00383402">
              <w:rPr>
                <w:rFonts w:ascii="Times New Roman" w:hAnsi="Times New Roman"/>
              </w:rPr>
              <w:t>Puntaje máximo</w:t>
            </w:r>
          </w:p>
        </w:tc>
        <w:tc>
          <w:tcPr>
            <w:tcW w:w="2160" w:type="dxa"/>
          </w:tcPr>
          <w:p w:rsidR="00326F69" w:rsidRPr="0062741E" w:rsidRDefault="00326F69" w:rsidP="00B91D70">
            <w:pPr>
              <w:rPr>
                <w:rFonts w:ascii="Times New Roman" w:hAnsi="Times New Roman"/>
              </w:rPr>
            </w:pPr>
            <w:r w:rsidRPr="00383402">
              <w:rPr>
                <w:rFonts w:ascii="Times New Roman" w:hAnsi="Times New Roman"/>
              </w:rPr>
              <w:t>Porcentaje logrado</w:t>
            </w:r>
          </w:p>
        </w:tc>
      </w:tr>
      <w:tr w:rsidR="00326F69" w:rsidRPr="0062741E">
        <w:tc>
          <w:tcPr>
            <w:tcW w:w="2159" w:type="dxa"/>
          </w:tcPr>
          <w:p w:rsidR="00326F69" w:rsidRPr="0062741E" w:rsidRDefault="00326F69" w:rsidP="00B91D70">
            <w:pPr>
              <w:rPr>
                <w:rFonts w:ascii="Times New Roman" w:hAnsi="Times New Roman"/>
              </w:rPr>
            </w:pPr>
            <w:r w:rsidRPr="00383402">
              <w:rPr>
                <w:rFonts w:ascii="Times New Roman" w:hAnsi="Times New Roman"/>
              </w:rPr>
              <w:t>Gestión pedagógica</w:t>
            </w:r>
          </w:p>
        </w:tc>
        <w:tc>
          <w:tcPr>
            <w:tcW w:w="2159" w:type="dxa"/>
          </w:tcPr>
          <w:p w:rsidR="00326F69" w:rsidRPr="0062741E" w:rsidRDefault="00326F69" w:rsidP="00B91D70">
            <w:pPr>
              <w:jc w:val="center"/>
              <w:rPr>
                <w:rFonts w:ascii="Times New Roman" w:hAnsi="Times New Roman"/>
              </w:rPr>
            </w:pPr>
            <w:r w:rsidRPr="00383402">
              <w:rPr>
                <w:rFonts w:ascii="Times New Roman" w:hAnsi="Times New Roman"/>
              </w:rPr>
              <w:t>256,61</w:t>
            </w:r>
          </w:p>
        </w:tc>
        <w:tc>
          <w:tcPr>
            <w:tcW w:w="2160" w:type="dxa"/>
          </w:tcPr>
          <w:p w:rsidR="00326F69" w:rsidRPr="0062741E" w:rsidRDefault="00326F69" w:rsidP="00B91D70">
            <w:pPr>
              <w:jc w:val="center"/>
              <w:rPr>
                <w:rFonts w:ascii="Times New Roman" w:hAnsi="Times New Roman"/>
              </w:rPr>
            </w:pPr>
            <w:r w:rsidRPr="00383402">
              <w:rPr>
                <w:rFonts w:ascii="Times New Roman" w:hAnsi="Times New Roman"/>
              </w:rPr>
              <w:t>500</w:t>
            </w:r>
          </w:p>
        </w:tc>
        <w:tc>
          <w:tcPr>
            <w:tcW w:w="2160" w:type="dxa"/>
          </w:tcPr>
          <w:p w:rsidR="00326F69" w:rsidRPr="0062741E" w:rsidRDefault="00326F69" w:rsidP="00B91D70">
            <w:pPr>
              <w:jc w:val="center"/>
              <w:rPr>
                <w:rFonts w:ascii="Times New Roman" w:hAnsi="Times New Roman"/>
              </w:rPr>
            </w:pPr>
            <w:r w:rsidRPr="00383402">
              <w:rPr>
                <w:rFonts w:ascii="Times New Roman" w:hAnsi="Times New Roman"/>
              </w:rPr>
              <w:t>51,3</w:t>
            </w:r>
          </w:p>
        </w:tc>
      </w:tr>
      <w:tr w:rsidR="00326F69" w:rsidRPr="0062741E">
        <w:tc>
          <w:tcPr>
            <w:tcW w:w="2159" w:type="dxa"/>
          </w:tcPr>
          <w:p w:rsidR="00326F69" w:rsidRPr="0062741E" w:rsidRDefault="00326F69" w:rsidP="00B91D70">
            <w:pPr>
              <w:rPr>
                <w:rFonts w:ascii="Times New Roman" w:hAnsi="Times New Roman"/>
              </w:rPr>
            </w:pPr>
            <w:r w:rsidRPr="00383402">
              <w:rPr>
                <w:rFonts w:ascii="Times New Roman" w:hAnsi="Times New Roman"/>
              </w:rPr>
              <w:t>Gestión administrativa y financiera</w:t>
            </w:r>
          </w:p>
        </w:tc>
        <w:tc>
          <w:tcPr>
            <w:tcW w:w="2159" w:type="dxa"/>
          </w:tcPr>
          <w:p w:rsidR="00326F69" w:rsidRPr="0062741E" w:rsidRDefault="00326F69" w:rsidP="00B91D70">
            <w:pPr>
              <w:jc w:val="center"/>
              <w:rPr>
                <w:rFonts w:ascii="Times New Roman" w:hAnsi="Times New Roman"/>
              </w:rPr>
            </w:pPr>
            <w:r w:rsidRPr="00383402">
              <w:rPr>
                <w:rFonts w:ascii="Times New Roman" w:hAnsi="Times New Roman"/>
              </w:rPr>
              <w:t>126,89</w:t>
            </w:r>
          </w:p>
        </w:tc>
        <w:tc>
          <w:tcPr>
            <w:tcW w:w="2160" w:type="dxa"/>
          </w:tcPr>
          <w:p w:rsidR="00326F69" w:rsidRPr="0062741E" w:rsidRDefault="00326F69" w:rsidP="00B91D70">
            <w:pPr>
              <w:jc w:val="center"/>
              <w:rPr>
                <w:rFonts w:ascii="Times New Roman" w:hAnsi="Times New Roman"/>
              </w:rPr>
            </w:pPr>
            <w:r w:rsidRPr="00383402">
              <w:rPr>
                <w:rFonts w:ascii="Times New Roman" w:hAnsi="Times New Roman"/>
              </w:rPr>
              <w:t>250</w:t>
            </w:r>
          </w:p>
        </w:tc>
        <w:tc>
          <w:tcPr>
            <w:tcW w:w="2160" w:type="dxa"/>
          </w:tcPr>
          <w:p w:rsidR="00326F69" w:rsidRPr="0062741E" w:rsidRDefault="00326F69" w:rsidP="00B91D70">
            <w:pPr>
              <w:jc w:val="center"/>
              <w:rPr>
                <w:rFonts w:ascii="Times New Roman" w:hAnsi="Times New Roman"/>
              </w:rPr>
            </w:pPr>
            <w:r w:rsidRPr="00383402">
              <w:rPr>
                <w:rFonts w:ascii="Times New Roman" w:hAnsi="Times New Roman"/>
              </w:rPr>
              <w:t>50,8</w:t>
            </w:r>
          </w:p>
        </w:tc>
      </w:tr>
      <w:tr w:rsidR="00326F69" w:rsidRPr="0062741E">
        <w:tc>
          <w:tcPr>
            <w:tcW w:w="2159" w:type="dxa"/>
          </w:tcPr>
          <w:p w:rsidR="00326F69" w:rsidRPr="0062741E" w:rsidRDefault="00326F69" w:rsidP="00B91D70">
            <w:pPr>
              <w:rPr>
                <w:rFonts w:ascii="Times New Roman" w:hAnsi="Times New Roman"/>
              </w:rPr>
            </w:pPr>
            <w:r w:rsidRPr="00383402">
              <w:rPr>
                <w:rFonts w:ascii="Times New Roman" w:hAnsi="Times New Roman"/>
              </w:rPr>
              <w:t>Infraestructura</w:t>
            </w:r>
          </w:p>
        </w:tc>
        <w:tc>
          <w:tcPr>
            <w:tcW w:w="2159" w:type="dxa"/>
          </w:tcPr>
          <w:p w:rsidR="00326F69" w:rsidRPr="0062741E" w:rsidRDefault="00326F69" w:rsidP="00B91D70">
            <w:pPr>
              <w:jc w:val="center"/>
              <w:rPr>
                <w:rFonts w:ascii="Times New Roman" w:hAnsi="Times New Roman"/>
              </w:rPr>
            </w:pPr>
            <w:r w:rsidRPr="00383402">
              <w:rPr>
                <w:rFonts w:ascii="Times New Roman" w:hAnsi="Times New Roman"/>
              </w:rPr>
              <w:t>108,85</w:t>
            </w:r>
          </w:p>
        </w:tc>
        <w:tc>
          <w:tcPr>
            <w:tcW w:w="2160" w:type="dxa"/>
          </w:tcPr>
          <w:p w:rsidR="00326F69" w:rsidRPr="0062741E" w:rsidRDefault="00326F69" w:rsidP="00B91D70">
            <w:pPr>
              <w:jc w:val="center"/>
              <w:rPr>
                <w:rFonts w:ascii="Times New Roman" w:hAnsi="Times New Roman"/>
              </w:rPr>
            </w:pPr>
            <w:r w:rsidRPr="00383402">
              <w:rPr>
                <w:rFonts w:ascii="Times New Roman" w:hAnsi="Times New Roman"/>
              </w:rPr>
              <w:t>250</w:t>
            </w:r>
          </w:p>
        </w:tc>
        <w:tc>
          <w:tcPr>
            <w:tcW w:w="2160" w:type="dxa"/>
          </w:tcPr>
          <w:p w:rsidR="00326F69" w:rsidRPr="0062741E" w:rsidRDefault="00326F69" w:rsidP="00B91D70">
            <w:pPr>
              <w:jc w:val="center"/>
              <w:rPr>
                <w:rFonts w:ascii="Times New Roman" w:hAnsi="Times New Roman"/>
              </w:rPr>
            </w:pPr>
            <w:r w:rsidRPr="00383402">
              <w:rPr>
                <w:rFonts w:ascii="Times New Roman" w:hAnsi="Times New Roman"/>
              </w:rPr>
              <w:t>43,5</w:t>
            </w:r>
          </w:p>
        </w:tc>
      </w:tr>
      <w:tr w:rsidR="00326F69" w:rsidRPr="0062741E">
        <w:tc>
          <w:tcPr>
            <w:tcW w:w="2159" w:type="dxa"/>
          </w:tcPr>
          <w:p w:rsidR="00326F69" w:rsidRPr="0062741E" w:rsidRDefault="00326F69" w:rsidP="00B91D70">
            <w:pPr>
              <w:rPr>
                <w:rFonts w:ascii="Times New Roman" w:hAnsi="Times New Roman"/>
              </w:rPr>
            </w:pPr>
            <w:r w:rsidRPr="00383402">
              <w:rPr>
                <w:rFonts w:ascii="Times New Roman" w:hAnsi="Times New Roman"/>
              </w:rPr>
              <w:t>Total</w:t>
            </w:r>
          </w:p>
        </w:tc>
        <w:tc>
          <w:tcPr>
            <w:tcW w:w="2159" w:type="dxa"/>
          </w:tcPr>
          <w:p w:rsidR="00326F69" w:rsidRPr="0062741E" w:rsidRDefault="00326F69" w:rsidP="00B91D70">
            <w:pPr>
              <w:jc w:val="center"/>
              <w:rPr>
                <w:rFonts w:ascii="Times New Roman" w:hAnsi="Times New Roman"/>
              </w:rPr>
            </w:pPr>
            <w:r w:rsidRPr="00383402">
              <w:rPr>
                <w:rFonts w:ascii="Times New Roman" w:hAnsi="Times New Roman"/>
              </w:rPr>
              <w:t>492,35</w:t>
            </w:r>
          </w:p>
        </w:tc>
        <w:tc>
          <w:tcPr>
            <w:tcW w:w="2160" w:type="dxa"/>
          </w:tcPr>
          <w:p w:rsidR="00326F69" w:rsidRPr="0062741E" w:rsidRDefault="00326F69" w:rsidP="00B91D70">
            <w:pPr>
              <w:jc w:val="center"/>
              <w:rPr>
                <w:rFonts w:ascii="Times New Roman" w:hAnsi="Times New Roman"/>
              </w:rPr>
            </w:pPr>
            <w:r w:rsidRPr="00383402">
              <w:rPr>
                <w:rFonts w:ascii="Times New Roman" w:hAnsi="Times New Roman"/>
              </w:rPr>
              <w:t>1.000</w:t>
            </w:r>
          </w:p>
        </w:tc>
        <w:tc>
          <w:tcPr>
            <w:tcW w:w="2160" w:type="dxa"/>
          </w:tcPr>
          <w:p w:rsidR="00326F69" w:rsidRPr="0062741E" w:rsidRDefault="00326F69" w:rsidP="00B91D70">
            <w:pPr>
              <w:jc w:val="center"/>
              <w:rPr>
                <w:rFonts w:ascii="Times New Roman" w:hAnsi="Times New Roman"/>
              </w:rPr>
            </w:pPr>
            <w:r w:rsidRPr="00383402">
              <w:rPr>
                <w:rFonts w:ascii="Times New Roman" w:hAnsi="Times New Roman"/>
              </w:rPr>
              <w:t>49,2</w:t>
            </w:r>
          </w:p>
        </w:tc>
      </w:tr>
    </w:tbl>
    <w:p w:rsidR="00326F69" w:rsidRPr="0097287F" w:rsidRDefault="00326F69" w:rsidP="00326F69">
      <w:pPr>
        <w:rPr>
          <w:rFonts w:ascii="Times New Roman" w:hAnsi="Times New Roman"/>
          <w:sz w:val="20"/>
        </w:rPr>
      </w:pPr>
      <w:r w:rsidRPr="0097287F">
        <w:rPr>
          <w:rFonts w:ascii="Times New Roman" w:hAnsi="Times New Roman"/>
          <w:sz w:val="20"/>
        </w:rPr>
        <w:t>Fuente: SEICE, 2011</w:t>
      </w:r>
    </w:p>
    <w:p w:rsidR="005A5B0C" w:rsidRDefault="005A5B0C" w:rsidP="005A5B0C">
      <w:pPr>
        <w:jc w:val="both"/>
        <w:rPr>
          <w:rFonts w:ascii="Times New Roman" w:hAnsi="Times New Roman"/>
        </w:rPr>
      </w:pPr>
    </w:p>
    <w:p w:rsidR="005A5B0C" w:rsidRPr="00326F69" w:rsidRDefault="005A5B0C" w:rsidP="00326F69">
      <w:pPr>
        <w:pStyle w:val="Ttulo2"/>
        <w:rPr>
          <w:i w:val="0"/>
        </w:rPr>
      </w:pPr>
      <w:bookmarkStart w:id="15" w:name="_Toc362358039"/>
      <w:r w:rsidRPr="00326F69">
        <w:rPr>
          <w:i w:val="0"/>
        </w:rPr>
        <w:t xml:space="preserve">2.2. Acceso </w:t>
      </w:r>
      <w:r w:rsidR="00326F69" w:rsidRPr="00326F69">
        <w:rPr>
          <w:i w:val="0"/>
        </w:rPr>
        <w:t>insuficiente en educación media y en primera infancia</w:t>
      </w:r>
      <w:bookmarkEnd w:id="15"/>
    </w:p>
    <w:p w:rsidR="001737C4" w:rsidRDefault="001737C4" w:rsidP="005A5B0C">
      <w:pPr>
        <w:jc w:val="both"/>
        <w:rPr>
          <w:rFonts w:ascii="Times New Roman" w:hAnsi="Times New Roman"/>
          <w:i/>
        </w:rPr>
      </w:pPr>
    </w:p>
    <w:p w:rsidR="001737C4" w:rsidRPr="00BA20B4" w:rsidRDefault="001737C4" w:rsidP="001737C4">
      <w:pPr>
        <w:autoSpaceDE w:val="0"/>
        <w:autoSpaceDN w:val="0"/>
        <w:adjustRightInd w:val="0"/>
        <w:jc w:val="both"/>
        <w:rPr>
          <w:rFonts w:ascii="Times New Roman" w:hAnsi="Times New Roman" w:cs="Arial"/>
        </w:rPr>
      </w:pPr>
      <w:r w:rsidRPr="00BA20B4">
        <w:rPr>
          <w:rFonts w:ascii="Times New Roman" w:hAnsi="Times New Roman"/>
        </w:rPr>
        <w:t>El promedio de años de educación</w:t>
      </w:r>
      <w:r>
        <w:rPr>
          <w:rFonts w:ascii="Times New Roman" w:hAnsi="Times New Roman"/>
        </w:rPr>
        <w:t xml:space="preserve"> formal</w:t>
      </w:r>
      <w:r w:rsidRPr="00BA20B4">
        <w:rPr>
          <w:rFonts w:ascii="Times New Roman" w:hAnsi="Times New Roman"/>
        </w:rPr>
        <w:t xml:space="preserve"> de los bogotanos ha venido en aumento, pasando de 9,1 años en 2007 a 9,4 años en 2011, de acuerdo con la encuesta multipropósito</w:t>
      </w:r>
      <w:r w:rsidRPr="00BA20B4">
        <w:rPr>
          <w:rStyle w:val="Refdenotaalpie"/>
          <w:rFonts w:ascii="Times New Roman" w:hAnsi="Times New Roman" w:cs="Arial"/>
        </w:rPr>
        <w:footnoteReference w:id="55"/>
      </w:r>
      <w:r w:rsidRPr="00BA20B4">
        <w:rPr>
          <w:rFonts w:ascii="Times New Roman" w:hAnsi="Times New Roman"/>
        </w:rPr>
        <w:t xml:space="preserve"> de este último año del DANE. </w:t>
      </w:r>
      <w:r w:rsidRPr="00BA20B4">
        <w:rPr>
          <w:rFonts w:ascii="Times New Roman" w:hAnsi="Times New Roman" w:cs="Arial"/>
        </w:rPr>
        <w:t xml:space="preserve">Las mujeres presentan un promedio de educación levemente más alto que el de los hombres. </w:t>
      </w:r>
    </w:p>
    <w:p w:rsidR="001737C4" w:rsidRPr="0047185F" w:rsidRDefault="00586F01" w:rsidP="001737C4">
      <w:pPr>
        <w:autoSpaceDE w:val="0"/>
        <w:autoSpaceDN w:val="0"/>
        <w:adjustRightInd w:val="0"/>
        <w:jc w:val="center"/>
        <w:rPr>
          <w:rFonts w:ascii="Times New Roman" w:hAnsi="Times New Roman" w:cs="Arial"/>
          <w:b/>
          <w:lang w:eastAsia="es-ES"/>
        </w:rPr>
      </w:pPr>
      <w:r>
        <w:rPr>
          <w:rFonts w:ascii="Times New Roman" w:hAnsi="Times New Roman" w:cs="Arial"/>
          <w:b/>
          <w:lang w:eastAsia="es-ES"/>
        </w:rPr>
        <w:t>Gráfico 5</w:t>
      </w:r>
    </w:p>
    <w:p w:rsidR="001737C4" w:rsidRDefault="001737C4" w:rsidP="001737C4">
      <w:pPr>
        <w:autoSpaceDE w:val="0"/>
        <w:autoSpaceDN w:val="0"/>
        <w:adjustRightInd w:val="0"/>
        <w:jc w:val="center"/>
        <w:rPr>
          <w:rFonts w:ascii="Times New Roman" w:hAnsi="Times New Roman" w:cs="Arial"/>
          <w:lang w:eastAsia="es-ES"/>
        </w:rPr>
      </w:pPr>
      <w:r>
        <w:rPr>
          <w:rFonts w:eastAsia="KozGoPro-Bold" w:cs="LucidaSans"/>
          <w:noProof/>
          <w:lang w:val="es-ES" w:eastAsia="es-ES"/>
        </w:rPr>
        <w:drawing>
          <wp:inline distT="0" distB="0" distL="0" distR="0">
            <wp:extent cx="4572762" cy="2743461"/>
            <wp:effectExtent l="25400" t="25400" r="24638" b="0"/>
            <wp:docPr id="1"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5B0C" w:rsidRPr="002374A9" w:rsidRDefault="005A5B0C" w:rsidP="005A5B0C">
      <w:pPr>
        <w:jc w:val="both"/>
        <w:rPr>
          <w:rFonts w:ascii="Times New Roman" w:hAnsi="Times New Roman"/>
          <w:i/>
        </w:rPr>
      </w:pPr>
    </w:p>
    <w:p w:rsidR="00532E51" w:rsidRDefault="005A5B0C" w:rsidP="005A5B0C">
      <w:pPr>
        <w:jc w:val="both"/>
        <w:rPr>
          <w:rFonts w:ascii="Times New Roman" w:hAnsi="Times New Roman"/>
        </w:rPr>
      </w:pPr>
      <w:r w:rsidRPr="00BA20B4">
        <w:rPr>
          <w:rFonts w:ascii="Times New Roman" w:hAnsi="Times New Roman"/>
        </w:rPr>
        <w:t>La información disponible indica que</w:t>
      </w:r>
      <w:r w:rsidR="00731EB1">
        <w:rPr>
          <w:rFonts w:ascii="Times New Roman" w:hAnsi="Times New Roman"/>
        </w:rPr>
        <w:t xml:space="preserve"> en Bogotá</w:t>
      </w:r>
      <w:r w:rsidRPr="00BA20B4">
        <w:rPr>
          <w:rFonts w:ascii="Times New Roman" w:hAnsi="Times New Roman"/>
        </w:rPr>
        <w:t xml:space="preserve"> se ha avanzado sustancialmente en el acceso a la educación primaria y secundaria, y en forma importante a la preescolar, media y superior, pero todavía hoy persisten grandes brechas </w:t>
      </w:r>
      <w:r w:rsidR="00532E51">
        <w:rPr>
          <w:rFonts w:ascii="Times New Roman" w:hAnsi="Times New Roman"/>
        </w:rPr>
        <w:t>especialmente en la educación inicial la educación media y la educación universitaria.</w:t>
      </w:r>
    </w:p>
    <w:p w:rsidR="00F24C24" w:rsidRDefault="00F24C24" w:rsidP="005A5B0C">
      <w:pPr>
        <w:jc w:val="both"/>
        <w:rPr>
          <w:rFonts w:ascii="Times New Roman" w:hAnsi="Times New Roman"/>
        </w:rPr>
      </w:pPr>
    </w:p>
    <w:p w:rsidR="00DF611E" w:rsidRDefault="005A5B0C">
      <w:pPr>
        <w:jc w:val="both"/>
        <w:rPr>
          <w:rFonts w:ascii="Times New Roman" w:hAnsi="Times New Roman"/>
        </w:rPr>
      </w:pPr>
      <w:r w:rsidRPr="00BA20B4">
        <w:rPr>
          <w:rFonts w:ascii="Times New Roman" w:hAnsi="Times New Roman"/>
        </w:rPr>
        <w:t>Tasa de asistencia</w:t>
      </w:r>
      <w:r w:rsidR="00AC5AAA" w:rsidRPr="00BA20B4">
        <w:rPr>
          <w:rStyle w:val="Refdenotaalpie"/>
          <w:rFonts w:ascii="Times New Roman" w:hAnsi="Times New Roman" w:cs="Arial"/>
          <w:sz w:val="20"/>
        </w:rPr>
        <w:footnoteReference w:id="56"/>
      </w:r>
      <w:r w:rsidR="00AC5AAA" w:rsidRPr="00BA20B4">
        <w:rPr>
          <w:rFonts w:ascii="Times New Roman" w:hAnsi="Times New Roman"/>
          <w:sz w:val="20"/>
        </w:rPr>
        <w:t>.</w:t>
      </w:r>
      <w:r w:rsidRPr="00BA20B4">
        <w:rPr>
          <w:rFonts w:ascii="Times New Roman" w:hAnsi="Times New Roman"/>
        </w:rPr>
        <w:t xml:space="preserve"> En el año 2011 (de acuerdo con la encuesta multipropósito del DANE</w:t>
      </w:r>
      <w:r w:rsidR="00095BD3" w:rsidRPr="00BA20B4">
        <w:rPr>
          <w:rFonts w:ascii="Times New Roman" w:hAnsi="Times New Roman"/>
        </w:rPr>
        <w:t xml:space="preserve"> y la Alcaldía Mayor de Bogotá</w:t>
      </w:r>
      <w:r w:rsidRPr="00BA20B4">
        <w:rPr>
          <w:rFonts w:ascii="Times New Roman" w:hAnsi="Times New Roman"/>
        </w:rPr>
        <w:t xml:space="preserve">) casi la totalidad de la población entre 5 y 15 años asistía a </w:t>
      </w:r>
      <w:r w:rsidRPr="00BA20B4">
        <w:rPr>
          <w:rFonts w:ascii="Times New Roman" w:hAnsi="Times New Roman"/>
        </w:rPr>
        <w:lastRenderedPageBreak/>
        <w:t>un establecimiento escolar</w:t>
      </w:r>
      <w:r w:rsidR="00C765A1">
        <w:rPr>
          <w:rFonts w:ascii="Times New Roman" w:hAnsi="Times New Roman"/>
        </w:rPr>
        <w:t>,</w:t>
      </w:r>
      <w:r w:rsidRPr="00BA20B4">
        <w:rPr>
          <w:rFonts w:ascii="Times New Roman" w:hAnsi="Times New Roman"/>
        </w:rPr>
        <w:t xml:space="preserve"> pero la proporción era menor en aquellos que deberían estar en educación media y </w:t>
      </w:r>
      <w:r w:rsidR="00832472">
        <w:rPr>
          <w:rFonts w:ascii="Times New Roman" w:hAnsi="Times New Roman"/>
        </w:rPr>
        <w:t xml:space="preserve">en educación </w:t>
      </w:r>
      <w:r w:rsidRPr="00BA20B4">
        <w:rPr>
          <w:rFonts w:ascii="Times New Roman" w:hAnsi="Times New Roman"/>
        </w:rPr>
        <w:t>superior. La tasa de asistencia de la población entre 5 y 11 años fue de 98,2% y de 12 a 15 años de 97,3%, mostrando una cobertura casi total. En el rango de 16 a 17 años fue de 81,3%, en el rango de 18 a 25 de 41,5%, y entre los mayores de 25 años de apenas 7,2%.</w:t>
      </w:r>
      <w:r w:rsidR="00782051" w:rsidRPr="00BA20B4">
        <w:rPr>
          <w:rStyle w:val="Refdenotaalpie"/>
          <w:rFonts w:ascii="Times New Roman" w:hAnsi="Times New Roman"/>
        </w:rPr>
        <w:footnoteReference w:id="57"/>
      </w:r>
    </w:p>
    <w:p w:rsidR="00F03A5A" w:rsidRPr="00BA20B4" w:rsidRDefault="00F03A5A" w:rsidP="005A5B0C">
      <w:pPr>
        <w:jc w:val="both"/>
        <w:rPr>
          <w:rFonts w:ascii="Times New Roman" w:hAnsi="Times New Roman"/>
        </w:rPr>
      </w:pPr>
    </w:p>
    <w:p w:rsidR="005A5B0C" w:rsidRPr="00BA20B4" w:rsidRDefault="005A5B0C" w:rsidP="005A5B0C">
      <w:pPr>
        <w:jc w:val="both"/>
        <w:rPr>
          <w:rFonts w:ascii="Times New Roman" w:hAnsi="Times New Roman"/>
        </w:rPr>
      </w:pPr>
      <w:r w:rsidRPr="00BA20B4">
        <w:rPr>
          <w:rFonts w:ascii="Times New Roman" w:hAnsi="Times New Roman"/>
        </w:rPr>
        <w:t xml:space="preserve">Estos datos nos indican que casi la totalidad de las personas entre 5 y 15 años, independientemente de sus ingresos y estrato, asiste a un establecimiento educativo, mostrando cómo, en materia de acceso, la intervención pública ha logrado una redistribución a favor de la población </w:t>
      </w:r>
      <w:r w:rsidR="00C765A1">
        <w:rPr>
          <w:rFonts w:ascii="Times New Roman" w:hAnsi="Times New Roman"/>
        </w:rPr>
        <w:t>con menores ingresos</w:t>
      </w:r>
      <w:r w:rsidRPr="00BA20B4">
        <w:rPr>
          <w:rFonts w:ascii="Times New Roman" w:hAnsi="Times New Roman"/>
        </w:rPr>
        <w:t>. Sin embargo, al llegar a la educación media, y sobre todo a la universitaria, se hacen evidentes las desigualdades. Mientras que en el estrato 6 el 98,6% de los muchachos de 16 y 17 años asisten al colegio, y el 90% de los estratos 4 y 5, en el estrato 1 lo hace apenas el 74% y el 78% en el 2, mientras que el estrato 3 llega al 84%; estas brechas se amplían al llegar a los jóvenes de 18 a 25 años: mientras que en el estrato 6 se encuentra en la universidad el 78% de las personas en el estrato 1 apenas el 20% y en el estrato 2 el 30%. Las desigualdades se expresan también territorialmente, por cuanto en Usme, Ciudad Bolívar, San Cristóbal, Rafael Uribe, Bosa y Santa Fé se concentra la mayor proporción de personas que no acceden a la educación media y superior.</w:t>
      </w:r>
      <w:r w:rsidR="003D7A2F" w:rsidRPr="00BA20B4">
        <w:rPr>
          <w:rStyle w:val="Refdenotaalpie"/>
          <w:rFonts w:ascii="Times New Roman" w:hAnsi="Times New Roman"/>
        </w:rPr>
        <w:footnoteReference w:id="58"/>
      </w:r>
      <w:r w:rsidRPr="00BA20B4">
        <w:rPr>
          <w:rFonts w:ascii="Times New Roman" w:hAnsi="Times New Roman"/>
        </w:rPr>
        <w:t>La proporción de población mayor de 25 años que estudia es baja, apenas 7,2%, variando de un 3,9% en el estrato 1 a un 8,4% en el estrato 3, que supera a los estratos más altos</w:t>
      </w:r>
      <w:r w:rsidR="006F172D">
        <w:rPr>
          <w:rFonts w:ascii="Times New Roman" w:hAnsi="Times New Roman"/>
        </w:rPr>
        <w:t>.</w:t>
      </w:r>
      <w:r w:rsidR="006F172D">
        <w:rPr>
          <w:rStyle w:val="Refdenotaalpie"/>
          <w:rFonts w:ascii="Times New Roman" w:hAnsi="Times New Roman"/>
        </w:rPr>
        <w:footnoteReference w:id="59"/>
      </w:r>
    </w:p>
    <w:p w:rsidR="005A5B0C" w:rsidRPr="00BA20B4" w:rsidRDefault="005A5B0C" w:rsidP="005A5B0C">
      <w:pPr>
        <w:autoSpaceDE w:val="0"/>
        <w:autoSpaceDN w:val="0"/>
        <w:adjustRightInd w:val="0"/>
        <w:jc w:val="both"/>
        <w:rPr>
          <w:rFonts w:ascii="Times New Roman" w:hAnsi="Times New Roman" w:cs="ArialMT"/>
          <w:lang w:eastAsia="es-CO"/>
        </w:rPr>
      </w:pPr>
    </w:p>
    <w:p w:rsidR="00592828" w:rsidRDefault="005A5B0C" w:rsidP="00493725">
      <w:pPr>
        <w:jc w:val="both"/>
        <w:rPr>
          <w:rFonts w:ascii="Times New Roman" w:hAnsi="Times New Roman" w:cs="ArialMT"/>
          <w:lang w:eastAsia="es-CO"/>
        </w:rPr>
      </w:pPr>
      <w:r w:rsidRPr="00BA20B4">
        <w:rPr>
          <w:rFonts w:ascii="Times New Roman" w:hAnsi="Times New Roman" w:cs="ArialMT"/>
          <w:lang w:eastAsia="es-CO"/>
        </w:rPr>
        <w:t>Tasa global de cobertura bruta</w:t>
      </w:r>
      <w:r w:rsidR="00714F0E">
        <w:rPr>
          <w:rFonts w:ascii="Times New Roman" w:hAnsi="Times New Roman" w:cs="ArialMT"/>
          <w:lang w:eastAsia="es-CO"/>
        </w:rPr>
        <w:t xml:space="preserve">. </w:t>
      </w:r>
      <w:r w:rsidR="009E5578" w:rsidRPr="00BA20B4">
        <w:rPr>
          <w:rFonts w:ascii="Times New Roman" w:hAnsi="Times New Roman" w:cs="ArialMT"/>
          <w:lang w:eastAsia="es-CO"/>
        </w:rPr>
        <w:t>La tasa de</w:t>
      </w:r>
      <w:r w:rsidR="002145A7" w:rsidRPr="00BA20B4">
        <w:rPr>
          <w:rFonts w:ascii="Times New Roman" w:hAnsi="Times New Roman" w:cs="ArialMT"/>
          <w:lang w:eastAsia="es-CO"/>
        </w:rPr>
        <w:t xml:space="preserve"> cobertura</w:t>
      </w:r>
      <w:r w:rsidR="00F312B4" w:rsidRPr="00BA20B4">
        <w:rPr>
          <w:rFonts w:ascii="Times New Roman" w:hAnsi="Times New Roman"/>
          <w:sz w:val="18"/>
          <w:vertAlign w:val="superscript"/>
        </w:rPr>
        <w:footnoteReference w:id="60"/>
      </w:r>
      <w:r w:rsidR="002145A7" w:rsidRPr="00BA20B4">
        <w:rPr>
          <w:rFonts w:ascii="Times New Roman" w:hAnsi="Times New Roman" w:cs="ArialMT"/>
          <w:lang w:eastAsia="es-CO"/>
        </w:rPr>
        <w:t xml:space="preserve"> bruta agregada disminuyó de 102,6</w:t>
      </w:r>
      <w:r w:rsidR="009E5578" w:rsidRPr="00BA20B4">
        <w:rPr>
          <w:rFonts w:ascii="Times New Roman" w:hAnsi="Times New Roman" w:cs="ArialMT"/>
          <w:lang w:eastAsia="es-CO"/>
        </w:rPr>
        <w:t>% a 10</w:t>
      </w:r>
      <w:r w:rsidR="007F071B">
        <w:rPr>
          <w:rFonts w:ascii="Times New Roman" w:hAnsi="Times New Roman" w:cs="ArialMT"/>
          <w:lang w:eastAsia="es-CO"/>
        </w:rPr>
        <w:t>1</w:t>
      </w:r>
      <w:r w:rsidR="009E5578" w:rsidRPr="00BA20B4">
        <w:rPr>
          <w:rFonts w:ascii="Times New Roman" w:hAnsi="Times New Roman" w:cs="ArialMT"/>
          <w:lang w:eastAsia="es-CO"/>
        </w:rPr>
        <w:t>% entre 2008 y 2011</w:t>
      </w:r>
      <w:r w:rsidR="00773F3A">
        <w:rPr>
          <w:rFonts w:ascii="Times New Roman" w:hAnsi="Times New Roman" w:cs="ArialMT"/>
          <w:lang w:eastAsia="es-CO"/>
        </w:rPr>
        <w:t xml:space="preserve">. </w:t>
      </w:r>
      <w:r w:rsidRPr="00BA20B4">
        <w:rPr>
          <w:rFonts w:ascii="Times New Roman" w:hAnsi="Times New Roman" w:cs="ArialMT"/>
          <w:lang w:eastAsia="es-CO"/>
        </w:rPr>
        <w:t xml:space="preserve">El nivel </w:t>
      </w:r>
      <w:r w:rsidR="00F145E4" w:rsidRPr="00BA20B4">
        <w:rPr>
          <w:rFonts w:ascii="Times New Roman" w:hAnsi="Times New Roman" w:cs="ArialMT"/>
          <w:lang w:eastAsia="es-CO"/>
        </w:rPr>
        <w:t xml:space="preserve">de educación </w:t>
      </w:r>
      <w:r w:rsidRPr="00BA20B4">
        <w:rPr>
          <w:rFonts w:ascii="Times New Roman" w:hAnsi="Times New Roman" w:cs="ArialMT"/>
          <w:lang w:eastAsia="es-CO"/>
        </w:rPr>
        <w:t xml:space="preserve">media reporta </w:t>
      </w:r>
      <w:r w:rsidRPr="00BA20B4">
        <w:rPr>
          <w:rFonts w:ascii="Times New Roman" w:hAnsi="Times New Roman" w:cs="Arial"/>
          <w:lang w:eastAsia="es-ES"/>
        </w:rPr>
        <w:t xml:space="preserve">incrementos importantes, pasando de </w:t>
      </w:r>
      <w:r w:rsidRPr="00BA20B4">
        <w:rPr>
          <w:rFonts w:ascii="Times New Roman" w:hAnsi="Times New Roman" w:cs="Arial"/>
          <w:lang w:val="es-ES"/>
        </w:rPr>
        <w:t>84,5% en el 2008 a 91,4% en el 2011</w:t>
      </w:r>
      <w:r w:rsidR="009E5578" w:rsidRPr="00BA20B4">
        <w:rPr>
          <w:rFonts w:ascii="Times New Roman" w:hAnsi="Times New Roman" w:cs="Arial"/>
          <w:lang w:val="es-ES"/>
        </w:rPr>
        <w:t>, reflejando</w:t>
      </w:r>
      <w:r w:rsidRPr="00BA20B4">
        <w:rPr>
          <w:rFonts w:ascii="Times New Roman" w:hAnsi="Times New Roman" w:cs="Arial"/>
          <w:lang w:val="es-ES"/>
        </w:rPr>
        <w:t xml:space="preserve"> el impacto de los esfuerzos y estrategias que ha emprendido la SED </w:t>
      </w:r>
      <w:r w:rsidR="009E5578" w:rsidRPr="00BA20B4">
        <w:rPr>
          <w:rFonts w:ascii="Times New Roman" w:hAnsi="Times New Roman" w:cs="Arial"/>
          <w:lang w:val="es-ES"/>
        </w:rPr>
        <w:t xml:space="preserve">para </w:t>
      </w:r>
      <w:r w:rsidRPr="00BA20B4">
        <w:rPr>
          <w:rFonts w:ascii="Times New Roman" w:hAnsi="Times New Roman" w:cs="Arial"/>
          <w:lang w:val="es-ES"/>
        </w:rPr>
        <w:t>incentivar la cobertura en este nivel</w:t>
      </w:r>
      <w:r w:rsidR="009E5578" w:rsidRPr="00BA20B4">
        <w:rPr>
          <w:rFonts w:ascii="Times New Roman" w:hAnsi="Times New Roman" w:cs="Arial"/>
          <w:lang w:val="es-ES"/>
        </w:rPr>
        <w:t>, pero sin alcanzar todavía el 100% al que han llegado los otros niveles.</w:t>
      </w:r>
      <w:r w:rsidR="009E5578" w:rsidRPr="00BA20B4">
        <w:rPr>
          <w:rFonts w:ascii="Times New Roman" w:hAnsi="Times New Roman" w:cs="ArialMT"/>
          <w:lang w:eastAsia="es-CO"/>
        </w:rPr>
        <w:t>Por el contrario, e</w:t>
      </w:r>
      <w:r w:rsidRPr="00BA20B4">
        <w:rPr>
          <w:rFonts w:ascii="Times New Roman" w:hAnsi="Times New Roman" w:cs="ArialMT"/>
          <w:lang w:eastAsia="es-CO"/>
        </w:rPr>
        <w:t>l nivel de transición – preescolar presenta una disminución sostenida, llegando a 85,6% para 2011</w:t>
      </w:r>
      <w:r w:rsidR="009E5578" w:rsidRPr="00BA20B4">
        <w:rPr>
          <w:rFonts w:ascii="Times New Roman" w:hAnsi="Times New Roman" w:cs="ArialMT"/>
          <w:lang w:eastAsia="es-CO"/>
        </w:rPr>
        <w:t xml:space="preserve"> frente a 92,5% en 2008, </w:t>
      </w:r>
      <w:r w:rsidRPr="00BA20B4">
        <w:rPr>
          <w:rFonts w:ascii="Times New Roman" w:hAnsi="Times New Roman" w:cs="ArialMT"/>
          <w:lang w:eastAsia="es-CO"/>
        </w:rPr>
        <w:t>cifra que ubica a este nivel como el de menor cobertura educativa, seguido por la educación media. Similar tendencia se registra en el nivel nacional desde años anteriores</w:t>
      </w:r>
      <w:r w:rsidRPr="00BA20B4">
        <w:rPr>
          <w:rStyle w:val="Refdenotaalpie"/>
          <w:rFonts w:ascii="Times New Roman" w:hAnsi="Times New Roman" w:cs="Arial"/>
        </w:rPr>
        <w:footnoteReference w:id="61"/>
      </w:r>
      <w:r w:rsidRPr="00BA20B4">
        <w:rPr>
          <w:rFonts w:ascii="Times New Roman" w:hAnsi="Times New Roman" w:cs="ArialMT"/>
          <w:lang w:eastAsia="es-CO"/>
        </w:rPr>
        <w:t>.</w:t>
      </w:r>
    </w:p>
    <w:p w:rsidR="005A5B0C" w:rsidRDefault="005A5B0C" w:rsidP="005A5B0C">
      <w:pPr>
        <w:jc w:val="both"/>
        <w:rPr>
          <w:rFonts w:ascii="Times New Roman" w:hAnsi="Times New Roman"/>
          <w:sz w:val="20"/>
        </w:rPr>
      </w:pPr>
    </w:p>
    <w:p w:rsidR="007F071B" w:rsidRPr="00647492" w:rsidRDefault="00E8193D" w:rsidP="00647492">
      <w:pPr>
        <w:autoSpaceDE w:val="0"/>
        <w:autoSpaceDN w:val="0"/>
        <w:adjustRightInd w:val="0"/>
        <w:jc w:val="center"/>
        <w:rPr>
          <w:rFonts w:ascii="Times New Roman" w:hAnsi="Times New Roman" w:cs="ArialMT"/>
          <w:b/>
          <w:lang w:eastAsia="es-CO"/>
        </w:rPr>
      </w:pPr>
      <w:r>
        <w:rPr>
          <w:rFonts w:ascii="Times New Roman" w:hAnsi="Times New Roman" w:cs="ArialMT"/>
          <w:b/>
          <w:lang w:eastAsia="es-CO"/>
        </w:rPr>
        <w:lastRenderedPageBreak/>
        <w:t>Tabla 5</w:t>
      </w:r>
      <w:r w:rsidR="00647492" w:rsidRPr="00647492">
        <w:rPr>
          <w:rFonts w:ascii="Times New Roman" w:hAnsi="Times New Roman" w:cs="ArialMT"/>
          <w:b/>
          <w:lang w:eastAsia="es-CO"/>
        </w:rPr>
        <w:t xml:space="preserve">. </w:t>
      </w:r>
      <w:r w:rsidR="007F071B" w:rsidRPr="00647492">
        <w:rPr>
          <w:rFonts w:ascii="Times New Roman" w:hAnsi="Times New Roman" w:cs="ArialMT"/>
          <w:b/>
          <w:lang w:eastAsia="es-CO"/>
        </w:rPr>
        <w:t>Tasas de cobertura bruta con rangos de edad del MEN. Período 2008-2011</w:t>
      </w:r>
    </w:p>
    <w:tbl>
      <w:tblPr>
        <w:tblW w:w="0" w:type="auto"/>
        <w:tblLook w:val="00A0" w:firstRow="1" w:lastRow="0" w:firstColumn="1" w:lastColumn="0" w:noHBand="0" w:noVBand="0"/>
      </w:tblPr>
      <w:tblGrid>
        <w:gridCol w:w="2943"/>
        <w:gridCol w:w="1701"/>
        <w:gridCol w:w="993"/>
        <w:gridCol w:w="1275"/>
        <w:gridCol w:w="993"/>
        <w:gridCol w:w="1073"/>
      </w:tblGrid>
      <w:tr w:rsidR="007F071B" w:rsidRPr="00BA20B4" w:rsidDel="00D65482">
        <w:tc>
          <w:tcPr>
            <w:tcW w:w="2943" w:type="dxa"/>
            <w:shd w:val="clear" w:color="auto" w:fill="C0C0C0"/>
          </w:tcPr>
          <w:p w:rsidR="007F071B" w:rsidRPr="00BA20B4" w:rsidDel="00D65482" w:rsidRDefault="007F071B" w:rsidP="00394C26">
            <w:pPr>
              <w:jc w:val="both"/>
              <w:rPr>
                <w:rFonts w:ascii="Times New Roman" w:hAnsi="Times New Roman"/>
              </w:rPr>
            </w:pPr>
            <w:r w:rsidRPr="00BA20B4" w:rsidDel="00D65482">
              <w:rPr>
                <w:rFonts w:ascii="Times New Roman" w:hAnsi="Times New Roman"/>
              </w:rPr>
              <w:t>Nivel</w:t>
            </w:r>
          </w:p>
        </w:tc>
        <w:tc>
          <w:tcPr>
            <w:tcW w:w="1701" w:type="dxa"/>
            <w:shd w:val="clear" w:color="auto" w:fill="C0C0C0"/>
          </w:tcPr>
          <w:p w:rsidR="007F071B" w:rsidRPr="00BA20B4" w:rsidDel="00D65482" w:rsidRDefault="007F071B" w:rsidP="00394C26">
            <w:pPr>
              <w:jc w:val="both"/>
              <w:rPr>
                <w:rFonts w:ascii="Times New Roman" w:hAnsi="Times New Roman"/>
              </w:rPr>
            </w:pPr>
            <w:r w:rsidRPr="00BA20B4" w:rsidDel="00D65482">
              <w:rPr>
                <w:rFonts w:ascii="Times New Roman" w:hAnsi="Times New Roman"/>
              </w:rPr>
              <w:t>PEE- DANE</w:t>
            </w:r>
          </w:p>
        </w:tc>
        <w:tc>
          <w:tcPr>
            <w:tcW w:w="993" w:type="dxa"/>
            <w:shd w:val="clear" w:color="auto" w:fill="C0C0C0"/>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2008</w:t>
            </w:r>
          </w:p>
        </w:tc>
        <w:tc>
          <w:tcPr>
            <w:tcW w:w="1275" w:type="dxa"/>
            <w:shd w:val="clear" w:color="auto" w:fill="C0C0C0"/>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2009</w:t>
            </w:r>
          </w:p>
        </w:tc>
        <w:tc>
          <w:tcPr>
            <w:tcW w:w="993" w:type="dxa"/>
            <w:shd w:val="clear" w:color="auto" w:fill="C0C0C0"/>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2010</w:t>
            </w:r>
          </w:p>
        </w:tc>
        <w:tc>
          <w:tcPr>
            <w:tcW w:w="1073" w:type="dxa"/>
            <w:shd w:val="clear" w:color="auto" w:fill="C0C0C0"/>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2011</w:t>
            </w:r>
          </w:p>
        </w:tc>
      </w:tr>
      <w:tr w:rsidR="007F071B" w:rsidRPr="00BA20B4" w:rsidDel="00D65482">
        <w:tc>
          <w:tcPr>
            <w:tcW w:w="2943" w:type="dxa"/>
          </w:tcPr>
          <w:p w:rsidR="007F071B" w:rsidRPr="00BA20B4" w:rsidDel="00D65482" w:rsidRDefault="007F071B" w:rsidP="00394C26">
            <w:pPr>
              <w:jc w:val="both"/>
              <w:rPr>
                <w:rFonts w:ascii="Times New Roman" w:hAnsi="Times New Roman"/>
              </w:rPr>
            </w:pPr>
            <w:r w:rsidRPr="00BA20B4" w:rsidDel="00D65482">
              <w:rPr>
                <w:rFonts w:ascii="Times New Roman" w:hAnsi="Times New Roman"/>
              </w:rPr>
              <w:t>Preescolar (Transición)</w:t>
            </w:r>
          </w:p>
        </w:tc>
        <w:tc>
          <w:tcPr>
            <w:tcW w:w="1701"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5 años</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92,5</w:t>
            </w:r>
          </w:p>
        </w:tc>
        <w:tc>
          <w:tcPr>
            <w:tcW w:w="1275"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89,1</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89,0</w:t>
            </w:r>
          </w:p>
        </w:tc>
        <w:tc>
          <w:tcPr>
            <w:tcW w:w="107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85,6</w:t>
            </w:r>
          </w:p>
        </w:tc>
      </w:tr>
      <w:tr w:rsidR="007F071B" w:rsidRPr="00BA20B4" w:rsidDel="00D65482">
        <w:tc>
          <w:tcPr>
            <w:tcW w:w="2943" w:type="dxa"/>
          </w:tcPr>
          <w:p w:rsidR="007F071B" w:rsidRPr="00BA20B4" w:rsidDel="00D65482" w:rsidRDefault="007F071B" w:rsidP="00394C26">
            <w:pPr>
              <w:jc w:val="both"/>
              <w:rPr>
                <w:rFonts w:ascii="Times New Roman" w:hAnsi="Times New Roman"/>
              </w:rPr>
            </w:pPr>
            <w:r w:rsidRPr="00BA20B4" w:rsidDel="00D65482">
              <w:rPr>
                <w:rFonts w:ascii="Times New Roman" w:hAnsi="Times New Roman"/>
              </w:rPr>
              <w:t>Primaria</w:t>
            </w:r>
          </w:p>
        </w:tc>
        <w:tc>
          <w:tcPr>
            <w:tcW w:w="1701"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6-10 años</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108,8</w:t>
            </w:r>
          </w:p>
        </w:tc>
        <w:tc>
          <w:tcPr>
            <w:tcW w:w="1275"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108,6</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106,7</w:t>
            </w:r>
          </w:p>
        </w:tc>
        <w:tc>
          <w:tcPr>
            <w:tcW w:w="107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102,6</w:t>
            </w:r>
          </w:p>
        </w:tc>
      </w:tr>
      <w:tr w:rsidR="007F071B" w:rsidRPr="00BA20B4" w:rsidDel="00D65482">
        <w:tc>
          <w:tcPr>
            <w:tcW w:w="2943" w:type="dxa"/>
          </w:tcPr>
          <w:p w:rsidR="007F071B" w:rsidRPr="00BA20B4" w:rsidDel="00D65482" w:rsidRDefault="007F071B" w:rsidP="00394C26">
            <w:pPr>
              <w:jc w:val="both"/>
              <w:rPr>
                <w:rFonts w:ascii="Times New Roman" w:hAnsi="Times New Roman"/>
              </w:rPr>
            </w:pPr>
            <w:r w:rsidRPr="00BA20B4" w:rsidDel="00D65482">
              <w:rPr>
                <w:rFonts w:ascii="Times New Roman" w:hAnsi="Times New Roman"/>
              </w:rPr>
              <w:t>Secundaria</w:t>
            </w:r>
          </w:p>
        </w:tc>
        <w:tc>
          <w:tcPr>
            <w:tcW w:w="1701"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11-14 años</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106,7</w:t>
            </w:r>
          </w:p>
        </w:tc>
        <w:tc>
          <w:tcPr>
            <w:tcW w:w="1275"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108,0</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109,1</w:t>
            </w:r>
          </w:p>
        </w:tc>
        <w:tc>
          <w:tcPr>
            <w:tcW w:w="107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107,7</w:t>
            </w:r>
          </w:p>
        </w:tc>
      </w:tr>
      <w:tr w:rsidR="007F071B" w:rsidRPr="00BA20B4" w:rsidDel="00D65482">
        <w:tc>
          <w:tcPr>
            <w:tcW w:w="2943" w:type="dxa"/>
          </w:tcPr>
          <w:p w:rsidR="007F071B" w:rsidRPr="00BA20B4" w:rsidDel="00D65482" w:rsidRDefault="007F071B" w:rsidP="00394C26">
            <w:pPr>
              <w:jc w:val="both"/>
              <w:rPr>
                <w:rFonts w:ascii="Times New Roman" w:hAnsi="Times New Roman"/>
              </w:rPr>
            </w:pPr>
            <w:r w:rsidRPr="00BA20B4" w:rsidDel="00D65482">
              <w:rPr>
                <w:rFonts w:ascii="Times New Roman" w:hAnsi="Times New Roman"/>
              </w:rPr>
              <w:t>Media</w:t>
            </w:r>
          </w:p>
        </w:tc>
        <w:tc>
          <w:tcPr>
            <w:tcW w:w="1701"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15-16 años</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84,5</w:t>
            </w:r>
          </w:p>
        </w:tc>
        <w:tc>
          <w:tcPr>
            <w:tcW w:w="1275"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88,3</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92,2</w:t>
            </w:r>
          </w:p>
        </w:tc>
        <w:tc>
          <w:tcPr>
            <w:tcW w:w="107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91,4</w:t>
            </w:r>
          </w:p>
        </w:tc>
      </w:tr>
      <w:tr w:rsidR="007F071B" w:rsidRPr="00BA20B4" w:rsidDel="00D65482">
        <w:tc>
          <w:tcPr>
            <w:tcW w:w="2943" w:type="dxa"/>
          </w:tcPr>
          <w:p w:rsidR="007F071B" w:rsidRPr="00BA20B4" w:rsidDel="00D65482" w:rsidRDefault="007F071B" w:rsidP="00394C26">
            <w:pPr>
              <w:jc w:val="both"/>
              <w:rPr>
                <w:rFonts w:ascii="Times New Roman" w:hAnsi="Times New Roman"/>
              </w:rPr>
            </w:pPr>
            <w:r w:rsidRPr="00BA20B4" w:rsidDel="00D65482">
              <w:rPr>
                <w:rFonts w:ascii="Times New Roman" w:hAnsi="Times New Roman"/>
              </w:rPr>
              <w:t>Total</w:t>
            </w:r>
          </w:p>
        </w:tc>
        <w:tc>
          <w:tcPr>
            <w:tcW w:w="1701"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5-16 años</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102,6</w:t>
            </w:r>
          </w:p>
        </w:tc>
        <w:tc>
          <w:tcPr>
            <w:tcW w:w="1275" w:type="dxa"/>
          </w:tcPr>
          <w:p w:rsidR="007F071B" w:rsidRPr="00BA20B4" w:rsidDel="00D65482" w:rsidRDefault="007F071B" w:rsidP="00394C26">
            <w:pPr>
              <w:jc w:val="right"/>
              <w:rPr>
                <w:rFonts w:ascii="Times New Roman" w:hAnsi="Times New Roman"/>
              </w:rPr>
            </w:pPr>
            <w:r>
              <w:rPr>
                <w:rFonts w:ascii="Times New Roman" w:hAnsi="Times New Roman"/>
              </w:rPr>
              <w:t>102</w:t>
            </w:r>
            <w:r w:rsidRPr="00BA20B4" w:rsidDel="00D65482">
              <w:rPr>
                <w:rFonts w:ascii="Times New Roman" w:hAnsi="Times New Roman"/>
              </w:rPr>
              <w:t>,</w:t>
            </w:r>
            <w:r>
              <w:rPr>
                <w:rFonts w:ascii="Times New Roman" w:hAnsi="Times New Roman"/>
              </w:rPr>
              <w:t>8</w:t>
            </w:r>
          </w:p>
        </w:tc>
        <w:tc>
          <w:tcPr>
            <w:tcW w:w="99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103,</w:t>
            </w:r>
            <w:r>
              <w:rPr>
                <w:rFonts w:ascii="Times New Roman" w:hAnsi="Times New Roman"/>
              </w:rPr>
              <w:t>1</w:t>
            </w:r>
          </w:p>
        </w:tc>
        <w:tc>
          <w:tcPr>
            <w:tcW w:w="1073" w:type="dxa"/>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101,0</w:t>
            </w:r>
          </w:p>
        </w:tc>
      </w:tr>
      <w:tr w:rsidR="007F071B" w:rsidRPr="00BA20B4" w:rsidDel="00D65482">
        <w:tc>
          <w:tcPr>
            <w:tcW w:w="2943" w:type="dxa"/>
            <w:shd w:val="clear" w:color="auto" w:fill="B3B3B3"/>
          </w:tcPr>
          <w:p w:rsidR="007F071B" w:rsidRPr="00BA20B4" w:rsidDel="00D65482" w:rsidRDefault="007F071B" w:rsidP="00394C26">
            <w:pPr>
              <w:jc w:val="both"/>
              <w:rPr>
                <w:rFonts w:ascii="Times New Roman" w:hAnsi="Times New Roman"/>
              </w:rPr>
            </w:pPr>
            <w:r w:rsidRPr="00BA20B4" w:rsidDel="00D65482">
              <w:rPr>
                <w:rFonts w:ascii="Times New Roman" w:hAnsi="Times New Roman"/>
              </w:rPr>
              <w:t>Secundaria y media</w:t>
            </w:r>
          </w:p>
        </w:tc>
        <w:tc>
          <w:tcPr>
            <w:tcW w:w="1701" w:type="dxa"/>
            <w:shd w:val="clear" w:color="auto" w:fill="B3B3B3"/>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11-16 años</w:t>
            </w:r>
          </w:p>
        </w:tc>
        <w:tc>
          <w:tcPr>
            <w:tcW w:w="993" w:type="dxa"/>
            <w:shd w:val="clear" w:color="auto" w:fill="B3B3B3"/>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99,2</w:t>
            </w:r>
          </w:p>
        </w:tc>
        <w:tc>
          <w:tcPr>
            <w:tcW w:w="1275" w:type="dxa"/>
            <w:shd w:val="clear" w:color="auto" w:fill="B3B3B3"/>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101,5</w:t>
            </w:r>
          </w:p>
        </w:tc>
        <w:tc>
          <w:tcPr>
            <w:tcW w:w="993" w:type="dxa"/>
            <w:shd w:val="clear" w:color="auto" w:fill="B3B3B3"/>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103,5</w:t>
            </w:r>
          </w:p>
        </w:tc>
        <w:tc>
          <w:tcPr>
            <w:tcW w:w="1073" w:type="dxa"/>
            <w:shd w:val="clear" w:color="auto" w:fill="B3B3B3"/>
          </w:tcPr>
          <w:p w:rsidR="007F071B" w:rsidRPr="00BA20B4" w:rsidDel="00D65482" w:rsidRDefault="007F071B" w:rsidP="00394C26">
            <w:pPr>
              <w:jc w:val="right"/>
              <w:rPr>
                <w:rFonts w:ascii="Times New Roman" w:hAnsi="Times New Roman"/>
              </w:rPr>
            </w:pPr>
            <w:r w:rsidRPr="00BA20B4" w:rsidDel="00D65482">
              <w:rPr>
                <w:rFonts w:ascii="Times New Roman" w:hAnsi="Times New Roman"/>
              </w:rPr>
              <w:t>102,1</w:t>
            </w:r>
          </w:p>
        </w:tc>
      </w:tr>
    </w:tbl>
    <w:p w:rsidR="007F071B" w:rsidRPr="00BA20B4" w:rsidDel="00D65482" w:rsidRDefault="007F071B" w:rsidP="007F071B">
      <w:pPr>
        <w:jc w:val="both"/>
        <w:rPr>
          <w:rFonts w:ascii="Times New Roman" w:hAnsi="Times New Roman"/>
          <w:sz w:val="18"/>
        </w:rPr>
      </w:pPr>
      <w:r w:rsidRPr="00BA20B4" w:rsidDel="00D65482">
        <w:rPr>
          <w:rFonts w:ascii="Times New Roman" w:hAnsi="Times New Roman"/>
          <w:sz w:val="18"/>
        </w:rPr>
        <w:t xml:space="preserve">Fuente: Matrícula oficial: Sistema de Matrículas- </w:t>
      </w:r>
      <w:r>
        <w:rPr>
          <w:rFonts w:ascii="Times New Roman" w:hAnsi="Times New Roman"/>
          <w:sz w:val="18"/>
        </w:rPr>
        <w:t xml:space="preserve">Matrícula </w:t>
      </w:r>
      <w:r w:rsidRPr="00BA20B4" w:rsidDel="00D65482">
        <w:rPr>
          <w:rFonts w:ascii="Times New Roman" w:hAnsi="Times New Roman"/>
          <w:sz w:val="18"/>
        </w:rPr>
        <w:t>imputada- Población: proyección DANE. Cálculo: SED- Oficina Asesora de Planeación- Grupo de Estadística.</w:t>
      </w:r>
    </w:p>
    <w:p w:rsidR="00647492" w:rsidRDefault="00647492" w:rsidP="007F071B">
      <w:pPr>
        <w:jc w:val="both"/>
        <w:rPr>
          <w:rFonts w:ascii="Times New Roman" w:hAnsi="Times New Roman"/>
          <w:sz w:val="20"/>
        </w:rPr>
      </w:pPr>
    </w:p>
    <w:p w:rsidR="00647492" w:rsidRDefault="00647492" w:rsidP="007F071B">
      <w:pPr>
        <w:jc w:val="both"/>
        <w:rPr>
          <w:rFonts w:ascii="Times New Roman" w:hAnsi="Times New Roman"/>
          <w:sz w:val="20"/>
        </w:rPr>
      </w:pPr>
    </w:p>
    <w:p w:rsidR="00647492" w:rsidRPr="00E8193D" w:rsidRDefault="00647492" w:rsidP="007F071B">
      <w:pPr>
        <w:jc w:val="both"/>
        <w:rPr>
          <w:rFonts w:ascii="Times New Roman" w:hAnsi="Times New Roman" w:cs="Arial"/>
        </w:rPr>
      </w:pPr>
      <w:r w:rsidRPr="00BA20B4">
        <w:rPr>
          <w:rFonts w:ascii="Times New Roman" w:hAnsi="Times New Roman" w:cs="Arial"/>
        </w:rPr>
        <w:t>Algunas localidades tienen tasas de cobertura muy altas como L</w:t>
      </w:r>
      <w:r w:rsidRPr="00BA20B4">
        <w:rPr>
          <w:rFonts w:ascii="Times New Roman" w:hAnsi="Times New Roman" w:cs="Arial"/>
          <w:lang w:val="es-ES"/>
        </w:rPr>
        <w:t xml:space="preserve">a Candelaria (281,9%), Tunjuelito (149,3%), Los Mártires (145,3%), Teusaquillo (133,6%) y Antonio Nariño (125,5%) que reciben estudiantes de otras localidades deficitarias de la ciudad. En relación con las localidades mayormente pobladas se percibe un buen nivel de cobertura en Suba (101,7%), pero es baja en Ciudad Bolívar (83,5%). </w:t>
      </w:r>
    </w:p>
    <w:p w:rsidR="00647492" w:rsidRDefault="00647492" w:rsidP="007F071B">
      <w:pPr>
        <w:jc w:val="both"/>
        <w:rPr>
          <w:rFonts w:ascii="Times New Roman" w:hAnsi="Times New Roman"/>
          <w:sz w:val="20"/>
        </w:rPr>
      </w:pPr>
    </w:p>
    <w:p w:rsidR="00647492" w:rsidRDefault="00647492" w:rsidP="007F071B">
      <w:pPr>
        <w:jc w:val="both"/>
        <w:rPr>
          <w:rFonts w:ascii="Times New Roman" w:hAnsi="Times New Roman"/>
          <w:sz w:val="20"/>
        </w:rPr>
      </w:pPr>
    </w:p>
    <w:p w:rsidR="007E294B" w:rsidRPr="00647492" w:rsidRDefault="00647492" w:rsidP="00E8193D">
      <w:pPr>
        <w:jc w:val="center"/>
        <w:rPr>
          <w:rFonts w:ascii="Times New Roman" w:hAnsi="Times New Roman"/>
          <w:b/>
          <w:sz w:val="20"/>
        </w:rPr>
      </w:pPr>
      <w:r w:rsidRPr="00647492">
        <w:rPr>
          <w:rFonts w:ascii="Times New Roman" w:hAnsi="Times New Roman"/>
          <w:b/>
          <w:sz w:val="20"/>
        </w:rPr>
        <w:t>Gráfico 6</w:t>
      </w:r>
    </w:p>
    <w:tbl>
      <w:tblPr>
        <w:tblW w:w="9322" w:type="dxa"/>
        <w:tblInd w:w="-38" w:type="dxa"/>
        <w:tblLayout w:type="fixed"/>
        <w:tblCellMar>
          <w:left w:w="70" w:type="dxa"/>
          <w:right w:w="70" w:type="dxa"/>
        </w:tblCellMar>
        <w:tblLook w:val="04A0" w:firstRow="1" w:lastRow="0" w:firstColumn="1" w:lastColumn="0" w:noHBand="0" w:noVBand="1"/>
      </w:tblPr>
      <w:tblGrid>
        <w:gridCol w:w="4361"/>
        <w:gridCol w:w="4961"/>
      </w:tblGrid>
      <w:tr w:rsidR="00AB0F4E" w:rsidRPr="00BA20B4">
        <w:trPr>
          <w:trHeight w:val="137"/>
        </w:trPr>
        <w:tc>
          <w:tcPr>
            <w:tcW w:w="4361" w:type="dxa"/>
          </w:tcPr>
          <w:p w:rsidR="00AB0F4E" w:rsidRPr="00BA20B4" w:rsidRDefault="00AB0F4E" w:rsidP="00394C26">
            <w:pPr>
              <w:jc w:val="both"/>
              <w:rPr>
                <w:rFonts w:ascii="Times New Roman" w:hAnsi="Times New Roman" w:cs="Arial"/>
                <w:b/>
                <w:sz w:val="15"/>
                <w:szCs w:val="15"/>
              </w:rPr>
            </w:pPr>
          </w:p>
          <w:p w:rsidR="00AB0F4E" w:rsidRPr="00BA20B4" w:rsidRDefault="00AB0F4E" w:rsidP="00394C26">
            <w:pPr>
              <w:jc w:val="both"/>
              <w:rPr>
                <w:rFonts w:ascii="Times New Roman" w:hAnsi="Times New Roman"/>
                <w:b/>
                <w:sz w:val="16"/>
                <w:szCs w:val="16"/>
                <w:lang w:val="es-ES"/>
              </w:rPr>
            </w:pPr>
            <w:r w:rsidRPr="00BA20B4">
              <w:rPr>
                <w:rFonts w:ascii="Times New Roman" w:hAnsi="Times New Roman"/>
                <w:b/>
                <w:sz w:val="16"/>
                <w:szCs w:val="16"/>
                <w:lang w:val="es-ES"/>
              </w:rPr>
              <w:t>Bogotá D.C., Tasa Global de Cobertura Bruta</w:t>
            </w:r>
          </w:p>
          <w:p w:rsidR="00AB0F4E" w:rsidRPr="00BA20B4" w:rsidRDefault="00AB0F4E" w:rsidP="00394C26">
            <w:pPr>
              <w:jc w:val="both"/>
              <w:rPr>
                <w:rFonts w:ascii="Times New Roman" w:hAnsi="Times New Roman" w:cs="Arial"/>
                <w:b/>
                <w:sz w:val="15"/>
                <w:szCs w:val="15"/>
              </w:rPr>
            </w:pPr>
            <w:r w:rsidRPr="00BA20B4">
              <w:rPr>
                <w:rFonts w:ascii="Times New Roman" w:hAnsi="Times New Roman" w:cs="Arial"/>
                <w:b/>
                <w:sz w:val="15"/>
                <w:szCs w:val="15"/>
              </w:rPr>
              <w:t>2008-2011</w:t>
            </w:r>
          </w:p>
          <w:p w:rsidR="00AB0F4E" w:rsidRPr="00BA20B4" w:rsidRDefault="00BD0D32" w:rsidP="00394C26">
            <w:pPr>
              <w:jc w:val="both"/>
              <w:rPr>
                <w:rFonts w:ascii="Times New Roman" w:hAnsi="Times New Roman" w:cs="Arial"/>
                <w:b/>
                <w:sz w:val="15"/>
                <w:szCs w:val="15"/>
              </w:rPr>
            </w:pPr>
            <w:r w:rsidRPr="00BD0D32">
              <w:rPr>
                <w:rFonts w:ascii="Times New Roman" w:hAnsi="Times New Roman" w:cs="Arial"/>
                <w:b/>
                <w:noProof/>
                <w:sz w:val="15"/>
                <w:szCs w:val="15"/>
                <w:lang w:val="es-ES" w:eastAsia="es-ES"/>
              </w:rPr>
              <w:drawing>
                <wp:inline distT="0" distB="0" distL="0" distR="0">
                  <wp:extent cx="3133725" cy="2847975"/>
                  <wp:effectExtent l="19050" t="0" r="9525"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0F4E" w:rsidRPr="00BA20B4" w:rsidRDefault="00AB0F4E" w:rsidP="00394C26">
            <w:pPr>
              <w:jc w:val="both"/>
              <w:rPr>
                <w:rFonts w:ascii="Times New Roman" w:hAnsi="Times New Roman" w:cs="Arial"/>
                <w:sz w:val="13"/>
                <w:szCs w:val="13"/>
                <w:highlight w:val="yellow"/>
              </w:rPr>
            </w:pPr>
            <w:r w:rsidRPr="00BA20B4">
              <w:rPr>
                <w:rFonts w:ascii="Times New Roman" w:hAnsi="Times New Roman" w:cs="Arial"/>
                <w:sz w:val="13"/>
                <w:szCs w:val="13"/>
              </w:rPr>
              <w:t>Fuente: Secretaría de Educación del Distrito</w:t>
            </w:r>
          </w:p>
        </w:tc>
        <w:tc>
          <w:tcPr>
            <w:tcW w:w="4961" w:type="dxa"/>
          </w:tcPr>
          <w:p w:rsidR="00AB0F4E" w:rsidRPr="00BA20B4" w:rsidRDefault="00AB0F4E" w:rsidP="00394C26">
            <w:pPr>
              <w:jc w:val="both"/>
              <w:rPr>
                <w:rFonts w:ascii="Times New Roman" w:hAnsi="Times New Roman" w:cs="Arial"/>
                <w:b/>
                <w:sz w:val="15"/>
                <w:szCs w:val="15"/>
              </w:rPr>
            </w:pPr>
          </w:p>
          <w:p w:rsidR="00AB0F4E" w:rsidRPr="00BA20B4" w:rsidRDefault="00AB0F4E" w:rsidP="00394C26">
            <w:pPr>
              <w:jc w:val="both"/>
              <w:rPr>
                <w:rFonts w:ascii="Times New Roman" w:hAnsi="Times New Roman" w:cs="Arial"/>
                <w:b/>
                <w:sz w:val="15"/>
                <w:szCs w:val="15"/>
              </w:rPr>
            </w:pPr>
            <w:r w:rsidRPr="00BA20B4">
              <w:rPr>
                <w:rFonts w:ascii="Times New Roman" w:hAnsi="Times New Roman" w:cs="Arial"/>
                <w:b/>
                <w:sz w:val="15"/>
                <w:szCs w:val="15"/>
              </w:rPr>
              <w:t>Bogotá D.C., Tasa Global de Cobertura Bruta, según localidades 2008-2011</w:t>
            </w:r>
          </w:p>
          <w:p w:rsidR="00AB0F4E" w:rsidRPr="00BA20B4" w:rsidRDefault="00631C6A" w:rsidP="00394C26">
            <w:pPr>
              <w:jc w:val="both"/>
              <w:rPr>
                <w:rFonts w:ascii="Times New Roman" w:hAnsi="Times New Roman" w:cs="Arial"/>
                <w:b/>
                <w:sz w:val="15"/>
                <w:szCs w:val="15"/>
              </w:rPr>
            </w:pPr>
            <w:r>
              <w:rPr>
                <w:rFonts w:ascii="Times New Roman" w:hAnsi="Times New Roman" w:cs="Arial"/>
                <w:b/>
                <w:noProof/>
                <w:sz w:val="15"/>
                <w:szCs w:val="15"/>
                <w:lang w:val="es-ES" w:eastAsia="es-ES"/>
              </w:rPr>
              <mc:AlternateContent>
                <mc:Choice Requires="wpc">
                  <w:drawing>
                    <wp:inline distT="0" distB="0" distL="0" distR="0">
                      <wp:extent cx="2839085" cy="2625090"/>
                      <wp:effectExtent l="9525" t="9525" r="0" b="3810"/>
                      <wp:docPr id="332" name="Lienzo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 name="Group 8"/>
                              <wpg:cNvGrpSpPr>
                                <a:grpSpLocks/>
                              </wpg:cNvGrpSpPr>
                              <wpg:grpSpPr bwMode="auto">
                                <a:xfrm>
                                  <a:off x="0" y="0"/>
                                  <a:ext cx="2769870" cy="2590800"/>
                                  <a:chOff x="0" y="0"/>
                                  <a:chExt cx="4362" cy="4080"/>
                                </a:xfrm>
                              </wpg:grpSpPr>
                              <wps:wsp>
                                <wps:cNvPr id="14" name="Rectangle 9"/>
                                <wps:cNvSpPr>
                                  <a:spLocks noChangeArrowheads="1"/>
                                </wps:cNvSpPr>
                                <wps:spPr bwMode="auto">
                                  <a:xfrm>
                                    <a:off x="0" y="0"/>
                                    <a:ext cx="4350" cy="196"/>
                                  </a:xfrm>
                                  <a:prstGeom prst="rect">
                                    <a:avLst/>
                                  </a:prstGeom>
                                  <a:solidFill>
                                    <a:srgbClr val="F2D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0"/>
                                <wps:cNvCnPr/>
                                <wps:spPr bwMode="auto">
                                  <a:xfrm>
                                    <a:off x="1135" y="11"/>
                                    <a:ext cx="5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0" name="Rectangle 11"/>
                                <wps:cNvSpPr>
                                  <a:spLocks noChangeArrowheads="1"/>
                                </wps:cNvSpPr>
                                <wps:spPr bwMode="auto">
                                  <a:xfrm>
                                    <a:off x="1135" y="11"/>
                                    <a:ext cx="5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2"/>
                                <wps:cNvCnPr/>
                                <wps:spPr bwMode="auto">
                                  <a:xfrm>
                                    <a:off x="1135" y="22"/>
                                    <a:ext cx="4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2" name="Rectangle 13"/>
                                <wps:cNvSpPr>
                                  <a:spLocks noChangeArrowheads="1"/>
                                </wps:cNvSpPr>
                                <wps:spPr bwMode="auto">
                                  <a:xfrm>
                                    <a:off x="1135" y="22"/>
                                    <a:ext cx="4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4"/>
                                <wps:cNvCnPr/>
                                <wps:spPr bwMode="auto">
                                  <a:xfrm>
                                    <a:off x="1135" y="33"/>
                                    <a:ext cx="3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4" name="Rectangle 15"/>
                                <wps:cNvSpPr>
                                  <a:spLocks noChangeArrowheads="1"/>
                                </wps:cNvSpPr>
                                <wps:spPr bwMode="auto">
                                  <a:xfrm>
                                    <a:off x="1135" y="33"/>
                                    <a:ext cx="3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6"/>
                                <wps:cNvCnPr/>
                                <wps:spPr bwMode="auto">
                                  <a:xfrm>
                                    <a:off x="1135" y="44"/>
                                    <a:ext cx="2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6" name="Rectangle 17"/>
                                <wps:cNvSpPr>
                                  <a:spLocks noChangeArrowheads="1"/>
                                </wps:cNvSpPr>
                                <wps:spPr bwMode="auto">
                                  <a:xfrm>
                                    <a:off x="1135" y="44"/>
                                    <a:ext cx="2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8"/>
                                <wps:cNvCnPr/>
                                <wps:spPr bwMode="auto">
                                  <a:xfrm>
                                    <a:off x="1135" y="54"/>
                                    <a:ext cx="1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8" name="Rectangle 19"/>
                                <wps:cNvSpPr>
                                  <a:spLocks noChangeArrowheads="1"/>
                                </wps:cNvSpPr>
                                <wps:spPr bwMode="auto">
                                  <a:xfrm>
                                    <a:off x="1135" y="54"/>
                                    <a:ext cx="1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20"/>
                                <wps:cNvCnPr/>
                                <wps:spPr bwMode="auto">
                                  <a:xfrm>
                                    <a:off x="1939" y="11"/>
                                    <a:ext cx="5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0" name="Rectangle 21"/>
                                <wps:cNvSpPr>
                                  <a:spLocks noChangeArrowheads="1"/>
                                </wps:cNvSpPr>
                                <wps:spPr bwMode="auto">
                                  <a:xfrm>
                                    <a:off x="1939" y="11"/>
                                    <a:ext cx="5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22"/>
                                <wps:cNvCnPr/>
                                <wps:spPr bwMode="auto">
                                  <a:xfrm>
                                    <a:off x="1939" y="22"/>
                                    <a:ext cx="4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2" name="Rectangle 23"/>
                                <wps:cNvSpPr>
                                  <a:spLocks noChangeArrowheads="1"/>
                                </wps:cNvSpPr>
                                <wps:spPr bwMode="auto">
                                  <a:xfrm>
                                    <a:off x="1939" y="22"/>
                                    <a:ext cx="4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24"/>
                                <wps:cNvCnPr/>
                                <wps:spPr bwMode="auto">
                                  <a:xfrm>
                                    <a:off x="1939" y="33"/>
                                    <a:ext cx="3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4" name="Rectangle 25"/>
                                <wps:cNvSpPr>
                                  <a:spLocks noChangeArrowheads="1"/>
                                </wps:cNvSpPr>
                                <wps:spPr bwMode="auto">
                                  <a:xfrm>
                                    <a:off x="1939" y="33"/>
                                    <a:ext cx="3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26"/>
                                <wps:cNvCnPr/>
                                <wps:spPr bwMode="auto">
                                  <a:xfrm>
                                    <a:off x="1939" y="44"/>
                                    <a:ext cx="2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6" name="Rectangle 27"/>
                                <wps:cNvSpPr>
                                  <a:spLocks noChangeArrowheads="1"/>
                                </wps:cNvSpPr>
                                <wps:spPr bwMode="auto">
                                  <a:xfrm>
                                    <a:off x="1939" y="44"/>
                                    <a:ext cx="2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28"/>
                                <wps:cNvCnPr/>
                                <wps:spPr bwMode="auto">
                                  <a:xfrm>
                                    <a:off x="1939" y="54"/>
                                    <a:ext cx="1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8" name="Rectangle 29"/>
                                <wps:cNvSpPr>
                                  <a:spLocks noChangeArrowheads="1"/>
                                </wps:cNvSpPr>
                                <wps:spPr bwMode="auto">
                                  <a:xfrm>
                                    <a:off x="1939" y="54"/>
                                    <a:ext cx="1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30"/>
                                <wps:cNvCnPr/>
                                <wps:spPr bwMode="auto">
                                  <a:xfrm>
                                    <a:off x="3546" y="11"/>
                                    <a:ext cx="51"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0" name="Rectangle 31"/>
                                <wps:cNvSpPr>
                                  <a:spLocks noChangeArrowheads="1"/>
                                </wps:cNvSpPr>
                                <wps:spPr bwMode="auto">
                                  <a:xfrm>
                                    <a:off x="3546" y="11"/>
                                    <a:ext cx="5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2"/>
                                <wps:cNvCnPr/>
                                <wps:spPr bwMode="auto">
                                  <a:xfrm>
                                    <a:off x="3546" y="22"/>
                                    <a:ext cx="41"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 name="Rectangle 33"/>
                                <wps:cNvSpPr>
                                  <a:spLocks noChangeArrowheads="1"/>
                                </wps:cNvSpPr>
                                <wps:spPr bwMode="auto">
                                  <a:xfrm>
                                    <a:off x="3546" y="22"/>
                                    <a:ext cx="4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4"/>
                                <wps:cNvCnPr/>
                                <wps:spPr bwMode="auto">
                                  <a:xfrm>
                                    <a:off x="3546" y="33"/>
                                    <a:ext cx="31"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4" name="Rectangle 35"/>
                                <wps:cNvSpPr>
                                  <a:spLocks noChangeArrowheads="1"/>
                                </wps:cNvSpPr>
                                <wps:spPr bwMode="auto">
                                  <a:xfrm>
                                    <a:off x="3546" y="33"/>
                                    <a:ext cx="3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6"/>
                                <wps:cNvCnPr/>
                                <wps:spPr bwMode="auto">
                                  <a:xfrm>
                                    <a:off x="3546" y="44"/>
                                    <a:ext cx="2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 name="Rectangle 37"/>
                                <wps:cNvSpPr>
                                  <a:spLocks noChangeArrowheads="1"/>
                                </wps:cNvSpPr>
                                <wps:spPr bwMode="auto">
                                  <a:xfrm>
                                    <a:off x="3546" y="44"/>
                                    <a:ext cx="2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8"/>
                                <wps:cNvCnPr/>
                                <wps:spPr bwMode="auto">
                                  <a:xfrm>
                                    <a:off x="3546" y="54"/>
                                    <a:ext cx="10" cy="1"/>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8" name="Rectangle 39"/>
                                <wps:cNvSpPr>
                                  <a:spLocks noChangeArrowheads="1"/>
                                </wps:cNvSpPr>
                                <wps:spPr bwMode="auto">
                                  <a:xfrm>
                                    <a:off x="3546" y="54"/>
                                    <a:ext cx="1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0"/>
                                <wps:cNvSpPr>
                                  <a:spLocks noChangeArrowheads="1"/>
                                </wps:cNvSpPr>
                                <wps:spPr bwMode="auto">
                                  <a:xfrm>
                                    <a:off x="0" y="185"/>
                                    <a:ext cx="4350" cy="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1"/>
                                <wps:cNvSpPr>
                                  <a:spLocks noChangeArrowheads="1"/>
                                </wps:cNvSpPr>
                                <wps:spPr bwMode="auto">
                                  <a:xfrm>
                                    <a:off x="0" y="3884"/>
                                    <a:ext cx="1135"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2"/>
                                <wps:cNvSpPr>
                                  <a:spLocks noChangeArrowheads="1"/>
                                </wps:cNvSpPr>
                                <wps:spPr bwMode="auto">
                                  <a:xfrm>
                                    <a:off x="1125" y="3884"/>
                                    <a:ext cx="3225" cy="196"/>
                                  </a:xfrm>
                                  <a:prstGeom prst="rect">
                                    <a:avLst/>
                                  </a:prstGeom>
                                  <a:solidFill>
                                    <a:srgbClr val="F2D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3"/>
                                <wps:cNvSpPr>
                                  <a:spLocks noChangeArrowheads="1"/>
                                </wps:cNvSpPr>
                                <wps:spPr bwMode="auto">
                                  <a:xfrm>
                                    <a:off x="231" y="11"/>
                                    <a:ext cx="58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Localidad</w:t>
                                      </w:r>
                                    </w:p>
                                  </w:txbxContent>
                                </wps:txbx>
                                <wps:bodyPr rot="0" vert="horz" wrap="none" lIns="0" tIns="0" rIns="0" bIns="0" anchor="t" anchorCtr="0" upright="1">
                                  <a:spAutoFit/>
                                </wps:bodyPr>
                              </wps:wsp>
                              <wps:wsp>
                                <wps:cNvPr id="53" name="Rectangle 44"/>
                                <wps:cNvSpPr>
                                  <a:spLocks noChangeArrowheads="1"/>
                                </wps:cNvSpPr>
                                <wps:spPr bwMode="auto">
                                  <a:xfrm>
                                    <a:off x="1356" y="11"/>
                                    <a:ext cx="32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2008</w:t>
                                      </w:r>
                                    </w:p>
                                  </w:txbxContent>
                                </wps:txbx>
                                <wps:bodyPr rot="0" vert="horz" wrap="none" lIns="0" tIns="0" rIns="0" bIns="0" anchor="t" anchorCtr="0" upright="1">
                                  <a:spAutoFit/>
                                </wps:bodyPr>
                              </wps:wsp>
                              <wps:wsp>
                                <wps:cNvPr id="54" name="Rectangle 45"/>
                                <wps:cNvSpPr>
                                  <a:spLocks noChangeArrowheads="1"/>
                                </wps:cNvSpPr>
                                <wps:spPr bwMode="auto">
                                  <a:xfrm>
                                    <a:off x="2160" y="11"/>
                                    <a:ext cx="32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2009</w:t>
                                      </w:r>
                                    </w:p>
                                  </w:txbxContent>
                                </wps:txbx>
                                <wps:bodyPr rot="0" vert="horz" wrap="none" lIns="0" tIns="0" rIns="0" bIns="0" anchor="t" anchorCtr="0" upright="1">
                                  <a:spAutoFit/>
                                </wps:bodyPr>
                              </wps:wsp>
                              <wps:wsp>
                                <wps:cNvPr id="55" name="Rectangle 46"/>
                                <wps:cNvSpPr>
                                  <a:spLocks noChangeArrowheads="1"/>
                                </wps:cNvSpPr>
                                <wps:spPr bwMode="auto">
                                  <a:xfrm>
                                    <a:off x="2974" y="11"/>
                                    <a:ext cx="30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2010</w:t>
                                      </w:r>
                                    </w:p>
                                  </w:txbxContent>
                                </wps:txbx>
                                <wps:bodyPr rot="0" vert="horz" wrap="none" lIns="0" tIns="0" rIns="0" bIns="0" anchor="t" anchorCtr="0" upright="1">
                                  <a:spAutoFit/>
                                </wps:bodyPr>
                              </wps:wsp>
                              <wps:wsp>
                                <wps:cNvPr id="56" name="Rectangle 47"/>
                                <wps:cNvSpPr>
                                  <a:spLocks noChangeArrowheads="1"/>
                                </wps:cNvSpPr>
                                <wps:spPr bwMode="auto">
                                  <a:xfrm>
                                    <a:off x="3798" y="11"/>
                                    <a:ext cx="2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2011</w:t>
                                      </w:r>
                                    </w:p>
                                  </w:txbxContent>
                                </wps:txbx>
                                <wps:bodyPr rot="0" vert="horz" wrap="none" lIns="0" tIns="0" rIns="0" bIns="0" anchor="t" anchorCtr="0" upright="1">
                                  <a:spAutoFit/>
                                </wps:bodyPr>
                              </wps:wsp>
                              <wps:wsp>
                                <wps:cNvPr id="57" name="Rectangle 48"/>
                                <wps:cNvSpPr>
                                  <a:spLocks noChangeArrowheads="1"/>
                                </wps:cNvSpPr>
                                <wps:spPr bwMode="auto">
                                  <a:xfrm>
                                    <a:off x="30" y="196"/>
                                    <a:ext cx="53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Usaquén</w:t>
                                      </w:r>
                                    </w:p>
                                  </w:txbxContent>
                                </wps:txbx>
                                <wps:bodyPr rot="0" vert="horz" wrap="none" lIns="0" tIns="0" rIns="0" bIns="0" anchor="t" anchorCtr="0" upright="1">
                                  <a:spAutoFit/>
                                </wps:bodyPr>
                              </wps:wsp>
                              <wps:wsp>
                                <wps:cNvPr id="58" name="Rectangle 49"/>
                                <wps:cNvSpPr>
                                  <a:spLocks noChangeArrowheads="1"/>
                                </wps:cNvSpPr>
                                <wps:spPr bwMode="auto">
                                  <a:xfrm>
                                    <a:off x="1497" y="196"/>
                                    <a:ext cx="4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113,5%</w:t>
                                      </w:r>
                                    </w:p>
                                  </w:txbxContent>
                                </wps:txbx>
                                <wps:bodyPr rot="0" vert="horz" wrap="none" lIns="0" tIns="0" rIns="0" bIns="0" anchor="t" anchorCtr="0" upright="1">
                                  <a:spAutoFit/>
                                </wps:bodyPr>
                              </wps:wsp>
                              <wps:wsp>
                                <wps:cNvPr id="59" name="Rectangle 50"/>
                                <wps:cNvSpPr>
                                  <a:spLocks noChangeArrowheads="1"/>
                                </wps:cNvSpPr>
                                <wps:spPr bwMode="auto">
                                  <a:xfrm>
                                    <a:off x="2291" y="196"/>
                                    <a:ext cx="45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110,3%</w:t>
                                      </w:r>
                                    </w:p>
                                  </w:txbxContent>
                                </wps:txbx>
                                <wps:bodyPr rot="0" vert="horz" wrap="none" lIns="0" tIns="0" rIns="0" bIns="0" anchor="t" anchorCtr="0" upright="1">
                                  <a:spAutoFit/>
                                </wps:bodyPr>
                              </wps:wsp>
                              <wps:wsp>
                                <wps:cNvPr id="60" name="Rectangle 51"/>
                                <wps:cNvSpPr>
                                  <a:spLocks noChangeArrowheads="1"/>
                                </wps:cNvSpPr>
                                <wps:spPr bwMode="auto">
                                  <a:xfrm>
                                    <a:off x="3124" y="196"/>
                                    <a:ext cx="42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111,3%</w:t>
                                      </w:r>
                                    </w:p>
                                  </w:txbxContent>
                                </wps:txbx>
                                <wps:bodyPr rot="0" vert="horz" wrap="none" lIns="0" tIns="0" rIns="0" bIns="0" anchor="t" anchorCtr="0" upright="1">
                                  <a:spAutoFit/>
                                </wps:bodyPr>
                              </wps:wsp>
                              <wps:wsp>
                                <wps:cNvPr id="61" name="Rectangle 52"/>
                                <wps:cNvSpPr>
                                  <a:spLocks noChangeArrowheads="1"/>
                                </wps:cNvSpPr>
                                <wps:spPr bwMode="auto">
                                  <a:xfrm>
                                    <a:off x="3878" y="196"/>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109,7%</w:t>
                                      </w:r>
                                    </w:p>
                                  </w:txbxContent>
                                </wps:txbx>
                                <wps:bodyPr rot="0" vert="horz" wrap="none" lIns="0" tIns="0" rIns="0" bIns="0" anchor="t" anchorCtr="0" upright="1">
                                  <a:spAutoFit/>
                                </wps:bodyPr>
                              </wps:wsp>
                              <wps:wsp>
                                <wps:cNvPr id="62" name="Rectangle 53"/>
                                <wps:cNvSpPr>
                                  <a:spLocks noChangeArrowheads="1"/>
                                </wps:cNvSpPr>
                                <wps:spPr bwMode="auto">
                                  <a:xfrm>
                                    <a:off x="30" y="381"/>
                                    <a:ext cx="63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Chapinero</w:t>
                                      </w:r>
                                    </w:p>
                                  </w:txbxContent>
                                </wps:txbx>
                                <wps:bodyPr rot="0" vert="horz" wrap="none" lIns="0" tIns="0" rIns="0" bIns="0" anchor="t" anchorCtr="0" upright="1">
                                  <a:spAutoFit/>
                                </wps:bodyPr>
                              </wps:wsp>
                              <wps:wsp>
                                <wps:cNvPr id="63" name="Rectangle 54"/>
                                <wps:cNvSpPr>
                                  <a:spLocks noChangeArrowheads="1"/>
                                </wps:cNvSpPr>
                                <wps:spPr bwMode="auto">
                                  <a:xfrm>
                                    <a:off x="1467" y="381"/>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130,7%</w:t>
                                      </w:r>
                                    </w:p>
                                  </w:txbxContent>
                                </wps:txbx>
                                <wps:bodyPr rot="0" vert="horz" wrap="none" lIns="0" tIns="0" rIns="0" bIns="0" anchor="t" anchorCtr="0" upright="1">
                                  <a:spAutoFit/>
                                </wps:bodyPr>
                              </wps:wsp>
                              <wps:wsp>
                                <wps:cNvPr id="64" name="Rectangle 55"/>
                                <wps:cNvSpPr>
                                  <a:spLocks noChangeArrowheads="1"/>
                                </wps:cNvSpPr>
                                <wps:spPr bwMode="auto">
                                  <a:xfrm>
                                    <a:off x="2281" y="381"/>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127,4%</w:t>
                                      </w:r>
                                    </w:p>
                                  </w:txbxContent>
                                </wps:txbx>
                                <wps:bodyPr rot="0" vert="horz" wrap="none" lIns="0" tIns="0" rIns="0" bIns="0" anchor="t" anchorCtr="0" upright="1">
                                  <a:spAutoFit/>
                                </wps:bodyPr>
                              </wps:wsp>
                              <wps:wsp>
                                <wps:cNvPr id="65" name="Rectangle 56"/>
                                <wps:cNvSpPr>
                                  <a:spLocks noChangeArrowheads="1"/>
                                </wps:cNvSpPr>
                                <wps:spPr bwMode="auto">
                                  <a:xfrm>
                                    <a:off x="3104" y="381"/>
                                    <a:ext cx="4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121,3%</w:t>
                                      </w:r>
                                    </w:p>
                                  </w:txbxContent>
                                </wps:txbx>
                                <wps:bodyPr rot="0" vert="horz" wrap="none" lIns="0" tIns="0" rIns="0" bIns="0" anchor="t" anchorCtr="0" upright="1">
                                  <a:spAutoFit/>
                                </wps:bodyPr>
                              </wps:wsp>
                              <wps:wsp>
                                <wps:cNvPr id="66" name="Rectangle 57"/>
                                <wps:cNvSpPr>
                                  <a:spLocks noChangeArrowheads="1"/>
                                </wps:cNvSpPr>
                                <wps:spPr bwMode="auto">
                                  <a:xfrm>
                                    <a:off x="3908" y="381"/>
                                    <a:ext cx="4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113,6%</w:t>
                                      </w:r>
                                    </w:p>
                                  </w:txbxContent>
                                </wps:txbx>
                                <wps:bodyPr rot="0" vert="horz" wrap="none" lIns="0" tIns="0" rIns="0" bIns="0" anchor="t" anchorCtr="0" upright="1">
                                  <a:spAutoFit/>
                                </wps:bodyPr>
                              </wps:wsp>
                              <wps:wsp>
                                <wps:cNvPr id="67" name="Rectangle 58"/>
                                <wps:cNvSpPr>
                                  <a:spLocks noChangeArrowheads="1"/>
                                </wps:cNvSpPr>
                                <wps:spPr bwMode="auto">
                                  <a:xfrm>
                                    <a:off x="30" y="566"/>
                                    <a:ext cx="50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Santa Fe</w:t>
                                      </w:r>
                                    </w:p>
                                  </w:txbxContent>
                                </wps:txbx>
                                <wps:bodyPr rot="0" vert="horz" wrap="none" lIns="0" tIns="0" rIns="0" bIns="0" anchor="t" anchorCtr="0" upright="1">
                                  <a:spAutoFit/>
                                </wps:bodyPr>
                              </wps:wsp>
                              <wps:wsp>
                                <wps:cNvPr id="68" name="Rectangle 59"/>
                                <wps:cNvSpPr>
                                  <a:spLocks noChangeArrowheads="1"/>
                                </wps:cNvSpPr>
                                <wps:spPr bwMode="auto">
                                  <a:xfrm>
                                    <a:off x="1457" y="566"/>
                                    <a:ext cx="47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102,0%</w:t>
                                      </w:r>
                                    </w:p>
                                  </w:txbxContent>
                                </wps:txbx>
                                <wps:bodyPr rot="0" vert="horz" wrap="none" lIns="0" tIns="0" rIns="0" bIns="0" anchor="t" anchorCtr="0" upright="1">
                                  <a:spAutoFit/>
                                </wps:bodyPr>
                              </wps:wsp>
                              <wps:wsp>
                                <wps:cNvPr id="69" name="Rectangle 60"/>
                                <wps:cNvSpPr>
                                  <a:spLocks noChangeArrowheads="1"/>
                                </wps:cNvSpPr>
                                <wps:spPr bwMode="auto">
                                  <a:xfrm>
                                    <a:off x="2260" y="566"/>
                                    <a:ext cx="47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100,4%</w:t>
                                      </w:r>
                                    </w:p>
                                  </w:txbxContent>
                                </wps:txbx>
                                <wps:bodyPr rot="0" vert="horz" wrap="none" lIns="0" tIns="0" rIns="0" bIns="0" anchor="t" anchorCtr="0" upright="1">
                                  <a:spAutoFit/>
                                </wps:bodyPr>
                              </wps:wsp>
                              <wps:wsp>
                                <wps:cNvPr id="70" name="Rectangle 61"/>
                                <wps:cNvSpPr>
                                  <a:spLocks noChangeArrowheads="1"/>
                                </wps:cNvSpPr>
                                <wps:spPr bwMode="auto">
                                  <a:xfrm>
                                    <a:off x="3134" y="566"/>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94,9%</w:t>
                                      </w:r>
                                    </w:p>
                                  </w:txbxContent>
                                </wps:txbx>
                                <wps:bodyPr rot="0" vert="horz" wrap="none" lIns="0" tIns="0" rIns="0" bIns="0" anchor="t" anchorCtr="0" upright="1">
                                  <a:spAutoFit/>
                                </wps:bodyPr>
                              </wps:wsp>
                              <wps:wsp>
                                <wps:cNvPr id="71" name="Rectangle 62"/>
                                <wps:cNvSpPr>
                                  <a:spLocks noChangeArrowheads="1"/>
                                </wps:cNvSpPr>
                                <wps:spPr bwMode="auto">
                                  <a:xfrm>
                                    <a:off x="3938" y="566"/>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88,7%</w:t>
                                      </w:r>
                                    </w:p>
                                  </w:txbxContent>
                                </wps:txbx>
                                <wps:bodyPr rot="0" vert="horz" wrap="none" lIns="0" tIns="0" rIns="0" bIns="0" anchor="t" anchorCtr="0" upright="1">
                                  <a:spAutoFit/>
                                </wps:bodyPr>
                              </wps:wsp>
                              <wps:wsp>
                                <wps:cNvPr id="72" name="Rectangle 63"/>
                                <wps:cNvSpPr>
                                  <a:spLocks noChangeArrowheads="1"/>
                                </wps:cNvSpPr>
                                <wps:spPr bwMode="auto">
                                  <a:xfrm>
                                    <a:off x="30" y="751"/>
                                    <a:ext cx="79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San Cristóbal</w:t>
                                      </w:r>
                                    </w:p>
                                  </w:txbxContent>
                                </wps:txbx>
                                <wps:bodyPr rot="0" vert="horz" wrap="none" lIns="0" tIns="0" rIns="0" bIns="0" anchor="t" anchorCtr="0" upright="1">
                                  <a:spAutoFit/>
                                </wps:bodyPr>
                              </wps:wsp>
                              <wps:wsp>
                                <wps:cNvPr id="73" name="Rectangle 64"/>
                                <wps:cNvSpPr>
                                  <a:spLocks noChangeArrowheads="1"/>
                                </wps:cNvSpPr>
                                <wps:spPr bwMode="auto">
                                  <a:xfrm>
                                    <a:off x="1547" y="751"/>
                                    <a:ext cx="39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98,1%</w:t>
                                      </w:r>
                                    </w:p>
                                  </w:txbxContent>
                                </wps:txbx>
                                <wps:bodyPr rot="0" vert="horz" wrap="none" lIns="0" tIns="0" rIns="0" bIns="0" anchor="t" anchorCtr="0" upright="1">
                                  <a:spAutoFit/>
                                </wps:bodyPr>
                              </wps:wsp>
                              <wps:wsp>
                                <wps:cNvPr id="74" name="Rectangle 65"/>
                                <wps:cNvSpPr>
                                  <a:spLocks noChangeArrowheads="1"/>
                                </wps:cNvSpPr>
                                <wps:spPr bwMode="auto">
                                  <a:xfrm>
                                    <a:off x="2331" y="751"/>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97,8%</w:t>
                                      </w:r>
                                    </w:p>
                                  </w:txbxContent>
                                </wps:txbx>
                                <wps:bodyPr rot="0" vert="horz" wrap="none" lIns="0" tIns="0" rIns="0" bIns="0" anchor="t" anchorCtr="0" upright="1">
                                  <a:spAutoFit/>
                                </wps:bodyPr>
                              </wps:wsp>
                              <wps:wsp>
                                <wps:cNvPr id="75" name="Rectangle 66"/>
                                <wps:cNvSpPr>
                                  <a:spLocks noChangeArrowheads="1"/>
                                </wps:cNvSpPr>
                                <wps:spPr bwMode="auto">
                                  <a:xfrm>
                                    <a:off x="3134" y="751"/>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99,9%</w:t>
                                      </w:r>
                                    </w:p>
                                  </w:txbxContent>
                                </wps:txbx>
                                <wps:bodyPr rot="0" vert="horz" wrap="none" lIns="0" tIns="0" rIns="0" bIns="0" anchor="t" anchorCtr="0" upright="1">
                                  <a:spAutoFit/>
                                </wps:bodyPr>
                              </wps:wsp>
                              <wps:wsp>
                                <wps:cNvPr id="76" name="Rectangle 67"/>
                                <wps:cNvSpPr>
                                  <a:spLocks noChangeArrowheads="1"/>
                                </wps:cNvSpPr>
                                <wps:spPr bwMode="auto">
                                  <a:xfrm>
                                    <a:off x="3938" y="751"/>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98,9%</w:t>
                                      </w:r>
                                    </w:p>
                                  </w:txbxContent>
                                </wps:txbx>
                                <wps:bodyPr rot="0" vert="horz" wrap="none" lIns="0" tIns="0" rIns="0" bIns="0" anchor="t" anchorCtr="0" upright="1">
                                  <a:spAutoFit/>
                                </wps:bodyPr>
                              </wps:wsp>
                              <wps:wsp>
                                <wps:cNvPr id="77" name="Rectangle 68"/>
                                <wps:cNvSpPr>
                                  <a:spLocks noChangeArrowheads="1"/>
                                </wps:cNvSpPr>
                                <wps:spPr bwMode="auto">
                                  <a:xfrm>
                                    <a:off x="30" y="936"/>
                                    <a:ext cx="34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Usme</w:t>
                                      </w:r>
                                    </w:p>
                                  </w:txbxContent>
                                </wps:txbx>
                                <wps:bodyPr rot="0" vert="horz" wrap="none" lIns="0" tIns="0" rIns="0" bIns="0" anchor="t" anchorCtr="0" upright="1">
                                  <a:spAutoFit/>
                                </wps:bodyPr>
                              </wps:wsp>
                              <wps:wsp>
                                <wps:cNvPr id="78" name="Rectangle 69"/>
                                <wps:cNvSpPr>
                                  <a:spLocks noChangeArrowheads="1"/>
                                </wps:cNvSpPr>
                                <wps:spPr bwMode="auto">
                                  <a:xfrm>
                                    <a:off x="1457" y="936"/>
                                    <a:ext cx="47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100,8%</w:t>
                                      </w:r>
                                    </w:p>
                                  </w:txbxContent>
                                </wps:txbx>
                                <wps:bodyPr rot="0" vert="horz" wrap="none" lIns="0" tIns="0" rIns="0" bIns="0" anchor="t" anchorCtr="0" upright="1">
                                  <a:spAutoFit/>
                                </wps:bodyPr>
                              </wps:wsp>
                              <wps:wsp>
                                <wps:cNvPr id="79" name="Rectangle 70"/>
                                <wps:cNvSpPr>
                                  <a:spLocks noChangeArrowheads="1"/>
                                </wps:cNvSpPr>
                                <wps:spPr bwMode="auto">
                                  <a:xfrm>
                                    <a:off x="2351" y="936"/>
                                    <a:ext cx="39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98,1%</w:t>
                                      </w:r>
                                    </w:p>
                                  </w:txbxContent>
                                </wps:txbx>
                                <wps:bodyPr rot="0" vert="horz" wrap="none" lIns="0" tIns="0" rIns="0" bIns="0" anchor="t" anchorCtr="0" upright="1">
                                  <a:spAutoFit/>
                                </wps:bodyPr>
                              </wps:wsp>
                              <wps:wsp>
                                <wps:cNvPr id="80" name="Rectangle 71"/>
                                <wps:cNvSpPr>
                                  <a:spLocks noChangeArrowheads="1"/>
                                </wps:cNvSpPr>
                                <wps:spPr bwMode="auto">
                                  <a:xfrm>
                                    <a:off x="3134" y="936"/>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96,8%</w:t>
                                      </w:r>
                                    </w:p>
                                  </w:txbxContent>
                                </wps:txbx>
                                <wps:bodyPr rot="0" vert="horz" wrap="none" lIns="0" tIns="0" rIns="0" bIns="0" anchor="t" anchorCtr="0" upright="1">
                                  <a:spAutoFit/>
                                </wps:bodyPr>
                              </wps:wsp>
                              <wps:wsp>
                                <wps:cNvPr id="81" name="Rectangle 72"/>
                                <wps:cNvSpPr>
                                  <a:spLocks noChangeArrowheads="1"/>
                                </wps:cNvSpPr>
                                <wps:spPr bwMode="auto">
                                  <a:xfrm>
                                    <a:off x="3958" y="936"/>
                                    <a:ext cx="39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91,2%</w:t>
                                      </w:r>
                                    </w:p>
                                  </w:txbxContent>
                                </wps:txbx>
                                <wps:bodyPr rot="0" vert="horz" wrap="none" lIns="0" tIns="0" rIns="0" bIns="0" anchor="t" anchorCtr="0" upright="1">
                                  <a:spAutoFit/>
                                </wps:bodyPr>
                              </wps:wsp>
                              <wps:wsp>
                                <wps:cNvPr id="82" name="Rectangle 73"/>
                                <wps:cNvSpPr>
                                  <a:spLocks noChangeArrowheads="1"/>
                                </wps:cNvSpPr>
                                <wps:spPr bwMode="auto">
                                  <a:xfrm>
                                    <a:off x="30" y="1121"/>
                                    <a:ext cx="62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Tunjuelito</w:t>
                                      </w:r>
                                    </w:p>
                                  </w:txbxContent>
                                </wps:txbx>
                                <wps:bodyPr rot="0" vert="horz" wrap="none" lIns="0" tIns="0" rIns="0" bIns="0" anchor="t" anchorCtr="0" upright="1">
                                  <a:spAutoFit/>
                                </wps:bodyPr>
                              </wps:wsp>
                              <wps:wsp>
                                <wps:cNvPr id="83" name="Rectangle 74"/>
                                <wps:cNvSpPr>
                                  <a:spLocks noChangeArrowheads="1"/>
                                </wps:cNvSpPr>
                                <wps:spPr bwMode="auto">
                                  <a:xfrm>
                                    <a:off x="1467" y="1121"/>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146,0%</w:t>
                                      </w:r>
                                    </w:p>
                                  </w:txbxContent>
                                </wps:txbx>
                                <wps:bodyPr rot="0" vert="horz" wrap="none" lIns="0" tIns="0" rIns="0" bIns="0" anchor="t" anchorCtr="0" upright="1">
                                  <a:spAutoFit/>
                                </wps:bodyPr>
                              </wps:wsp>
                              <wps:wsp>
                                <wps:cNvPr id="84" name="Rectangle 75"/>
                                <wps:cNvSpPr>
                                  <a:spLocks noChangeArrowheads="1"/>
                                </wps:cNvSpPr>
                                <wps:spPr bwMode="auto">
                                  <a:xfrm>
                                    <a:off x="2281" y="1121"/>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146,9%</w:t>
                                      </w:r>
                                    </w:p>
                                  </w:txbxContent>
                                </wps:txbx>
                                <wps:bodyPr rot="0" vert="horz" wrap="none" lIns="0" tIns="0" rIns="0" bIns="0" anchor="t" anchorCtr="0" upright="1">
                                  <a:spAutoFit/>
                                </wps:bodyPr>
                              </wps:wsp>
                              <wps:wsp>
                                <wps:cNvPr id="85" name="Rectangle 76"/>
                                <wps:cNvSpPr>
                                  <a:spLocks noChangeArrowheads="1"/>
                                </wps:cNvSpPr>
                                <wps:spPr bwMode="auto">
                                  <a:xfrm>
                                    <a:off x="3084" y="1121"/>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149,4%</w:t>
                                      </w:r>
                                    </w:p>
                                  </w:txbxContent>
                                </wps:txbx>
                                <wps:bodyPr rot="0" vert="horz" wrap="none" lIns="0" tIns="0" rIns="0" bIns="0" anchor="t" anchorCtr="0" upright="1">
                                  <a:spAutoFit/>
                                </wps:bodyPr>
                              </wps:wsp>
                              <wps:wsp>
                                <wps:cNvPr id="86" name="Rectangle 77"/>
                                <wps:cNvSpPr>
                                  <a:spLocks noChangeArrowheads="1"/>
                                </wps:cNvSpPr>
                                <wps:spPr bwMode="auto">
                                  <a:xfrm>
                                    <a:off x="3888" y="1121"/>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149,3%</w:t>
                                      </w:r>
                                    </w:p>
                                  </w:txbxContent>
                                </wps:txbx>
                                <wps:bodyPr rot="0" vert="horz" wrap="none" lIns="0" tIns="0" rIns="0" bIns="0" anchor="t" anchorCtr="0" upright="1">
                                  <a:spAutoFit/>
                                </wps:bodyPr>
                              </wps:wsp>
                              <wps:wsp>
                                <wps:cNvPr id="87" name="Rectangle 78"/>
                                <wps:cNvSpPr>
                                  <a:spLocks noChangeArrowheads="1"/>
                                </wps:cNvSpPr>
                                <wps:spPr bwMode="auto">
                                  <a:xfrm>
                                    <a:off x="30" y="1306"/>
                                    <a:ext cx="28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Bosa</w:t>
                                      </w:r>
                                    </w:p>
                                  </w:txbxContent>
                                </wps:txbx>
                                <wps:bodyPr rot="0" vert="horz" wrap="none" lIns="0" tIns="0" rIns="0" bIns="0" anchor="t" anchorCtr="0" upright="1">
                                  <a:spAutoFit/>
                                </wps:bodyPr>
                              </wps:wsp>
                              <wps:wsp>
                                <wps:cNvPr id="88" name="Rectangle 79"/>
                                <wps:cNvSpPr>
                                  <a:spLocks noChangeArrowheads="1"/>
                                </wps:cNvSpPr>
                                <wps:spPr bwMode="auto">
                                  <a:xfrm>
                                    <a:off x="1467" y="1306"/>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104,4%</w:t>
                                      </w:r>
                                    </w:p>
                                  </w:txbxContent>
                                </wps:txbx>
                                <wps:bodyPr rot="0" vert="horz" wrap="none" lIns="0" tIns="0" rIns="0" bIns="0" anchor="t" anchorCtr="0" upright="1">
                                  <a:spAutoFit/>
                                </wps:bodyPr>
                              </wps:wsp>
                              <wps:wsp>
                                <wps:cNvPr id="89" name="Rectangle 80"/>
                                <wps:cNvSpPr>
                                  <a:spLocks noChangeArrowheads="1"/>
                                </wps:cNvSpPr>
                                <wps:spPr bwMode="auto">
                                  <a:xfrm>
                                    <a:off x="2270" y="1306"/>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106,6%</w:t>
                                      </w:r>
                                    </w:p>
                                  </w:txbxContent>
                                </wps:txbx>
                                <wps:bodyPr rot="0" vert="horz" wrap="none" lIns="0" tIns="0" rIns="0" bIns="0" anchor="t" anchorCtr="0" upright="1">
                                  <a:spAutoFit/>
                                </wps:bodyPr>
                              </wps:wsp>
                              <wps:wsp>
                                <wps:cNvPr id="90" name="Rectangle 81"/>
                                <wps:cNvSpPr>
                                  <a:spLocks noChangeArrowheads="1"/>
                                </wps:cNvSpPr>
                                <wps:spPr bwMode="auto">
                                  <a:xfrm>
                                    <a:off x="3074" y="1306"/>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108,2%</w:t>
                                      </w:r>
                                    </w:p>
                                  </w:txbxContent>
                                </wps:txbx>
                                <wps:bodyPr rot="0" vert="horz" wrap="none" lIns="0" tIns="0" rIns="0" bIns="0" anchor="t" anchorCtr="0" upright="1">
                                  <a:spAutoFit/>
                                </wps:bodyPr>
                              </wps:wsp>
                              <wps:wsp>
                                <wps:cNvPr id="91" name="Rectangle 82"/>
                                <wps:cNvSpPr>
                                  <a:spLocks noChangeArrowheads="1"/>
                                </wps:cNvSpPr>
                                <wps:spPr bwMode="auto">
                                  <a:xfrm>
                                    <a:off x="3868" y="1306"/>
                                    <a:ext cx="47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107,0%</w:t>
                                      </w:r>
                                    </w:p>
                                  </w:txbxContent>
                                </wps:txbx>
                                <wps:bodyPr rot="0" vert="horz" wrap="none" lIns="0" tIns="0" rIns="0" bIns="0" anchor="t" anchorCtr="0" upright="1">
                                  <a:spAutoFit/>
                                </wps:bodyPr>
                              </wps:wsp>
                              <wps:wsp>
                                <wps:cNvPr id="92" name="Rectangle 83"/>
                                <wps:cNvSpPr>
                                  <a:spLocks noChangeArrowheads="1"/>
                                </wps:cNvSpPr>
                                <wps:spPr bwMode="auto">
                                  <a:xfrm>
                                    <a:off x="30" y="1491"/>
                                    <a:ext cx="53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Kennedy</w:t>
                                      </w:r>
                                    </w:p>
                                  </w:txbxContent>
                                </wps:txbx>
                                <wps:bodyPr rot="0" vert="horz" wrap="none" lIns="0" tIns="0" rIns="0" bIns="0" anchor="t" anchorCtr="0" upright="1">
                                  <a:spAutoFit/>
                                </wps:bodyPr>
                              </wps:wsp>
                              <wps:wsp>
                                <wps:cNvPr id="93" name="Rectangle 84"/>
                                <wps:cNvSpPr>
                                  <a:spLocks noChangeArrowheads="1"/>
                                </wps:cNvSpPr>
                                <wps:spPr bwMode="auto">
                                  <a:xfrm>
                                    <a:off x="1527" y="1491"/>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85,2%</w:t>
                                      </w:r>
                                    </w:p>
                                  </w:txbxContent>
                                </wps:txbx>
                                <wps:bodyPr rot="0" vert="horz" wrap="none" lIns="0" tIns="0" rIns="0" bIns="0" anchor="t" anchorCtr="0" upright="1">
                                  <a:spAutoFit/>
                                </wps:bodyPr>
                              </wps:wsp>
                              <wps:wsp>
                                <wps:cNvPr id="94" name="Rectangle 85"/>
                                <wps:cNvSpPr>
                                  <a:spLocks noChangeArrowheads="1"/>
                                </wps:cNvSpPr>
                                <wps:spPr bwMode="auto">
                                  <a:xfrm>
                                    <a:off x="2331" y="1491"/>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87,5%</w:t>
                                      </w:r>
                                    </w:p>
                                  </w:txbxContent>
                                </wps:txbx>
                                <wps:bodyPr rot="0" vert="horz" wrap="none" lIns="0" tIns="0" rIns="0" bIns="0" anchor="t" anchorCtr="0" upright="1">
                                  <a:spAutoFit/>
                                </wps:bodyPr>
                              </wps:wsp>
                              <wps:wsp>
                                <wps:cNvPr id="95" name="Rectangle 86"/>
                                <wps:cNvSpPr>
                                  <a:spLocks noChangeArrowheads="1"/>
                                </wps:cNvSpPr>
                                <wps:spPr bwMode="auto">
                                  <a:xfrm>
                                    <a:off x="3134" y="1491"/>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88,4%</w:t>
                                      </w:r>
                                    </w:p>
                                  </w:txbxContent>
                                </wps:txbx>
                                <wps:bodyPr rot="0" vert="horz" wrap="none" lIns="0" tIns="0" rIns="0" bIns="0" anchor="t" anchorCtr="0" upright="1">
                                  <a:spAutoFit/>
                                </wps:bodyPr>
                              </wps:wsp>
                              <wps:wsp>
                                <wps:cNvPr id="96" name="Rectangle 87"/>
                                <wps:cNvSpPr>
                                  <a:spLocks noChangeArrowheads="1"/>
                                </wps:cNvSpPr>
                                <wps:spPr bwMode="auto">
                                  <a:xfrm>
                                    <a:off x="3928" y="1491"/>
                                    <a:ext cx="42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90,8%</w:t>
                                      </w:r>
                                    </w:p>
                                  </w:txbxContent>
                                </wps:txbx>
                                <wps:bodyPr rot="0" vert="horz" wrap="none" lIns="0" tIns="0" rIns="0" bIns="0" anchor="t" anchorCtr="0" upright="1">
                                  <a:spAutoFit/>
                                </wps:bodyPr>
                              </wps:wsp>
                              <wps:wsp>
                                <wps:cNvPr id="97" name="Rectangle 88"/>
                                <wps:cNvSpPr>
                                  <a:spLocks noChangeArrowheads="1"/>
                                </wps:cNvSpPr>
                                <wps:spPr bwMode="auto">
                                  <a:xfrm>
                                    <a:off x="30" y="1675"/>
                                    <a:ext cx="55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Fontibón</w:t>
                                      </w:r>
                                    </w:p>
                                  </w:txbxContent>
                                </wps:txbx>
                                <wps:bodyPr rot="0" vert="horz" wrap="none" lIns="0" tIns="0" rIns="0" bIns="0" anchor="t" anchorCtr="0" upright="1">
                                  <a:spAutoFit/>
                                </wps:bodyPr>
                              </wps:wsp>
                              <wps:wsp>
                                <wps:cNvPr id="98" name="Rectangle 89"/>
                                <wps:cNvSpPr>
                                  <a:spLocks noChangeArrowheads="1"/>
                                </wps:cNvSpPr>
                                <wps:spPr bwMode="auto">
                                  <a:xfrm>
                                    <a:off x="1527" y="1675"/>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88,6%</w:t>
                                      </w:r>
                                    </w:p>
                                  </w:txbxContent>
                                </wps:txbx>
                                <wps:bodyPr rot="0" vert="horz" wrap="none" lIns="0" tIns="0" rIns="0" bIns="0" anchor="t" anchorCtr="0" upright="1">
                                  <a:spAutoFit/>
                                </wps:bodyPr>
                              </wps:wsp>
                              <wps:wsp>
                                <wps:cNvPr id="99" name="Rectangle 90"/>
                                <wps:cNvSpPr>
                                  <a:spLocks noChangeArrowheads="1"/>
                                </wps:cNvSpPr>
                                <wps:spPr bwMode="auto">
                                  <a:xfrm>
                                    <a:off x="2331" y="1675"/>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87,6%</w:t>
                                      </w:r>
                                    </w:p>
                                  </w:txbxContent>
                                </wps:txbx>
                                <wps:bodyPr rot="0" vert="horz" wrap="none" lIns="0" tIns="0" rIns="0" bIns="0" anchor="t" anchorCtr="0" upright="1">
                                  <a:spAutoFit/>
                                </wps:bodyPr>
                              </wps:wsp>
                              <wps:wsp>
                                <wps:cNvPr id="100" name="Rectangle 91"/>
                                <wps:cNvSpPr>
                                  <a:spLocks noChangeArrowheads="1"/>
                                </wps:cNvSpPr>
                                <wps:spPr bwMode="auto">
                                  <a:xfrm>
                                    <a:off x="3134" y="1675"/>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86,7%</w:t>
                                      </w:r>
                                    </w:p>
                                  </w:txbxContent>
                                </wps:txbx>
                                <wps:bodyPr rot="0" vert="horz" wrap="none" lIns="0" tIns="0" rIns="0" bIns="0" anchor="t" anchorCtr="0" upright="1">
                                  <a:spAutoFit/>
                                </wps:bodyPr>
                              </wps:wsp>
                              <wps:wsp>
                                <wps:cNvPr id="101" name="Rectangle 92"/>
                                <wps:cNvSpPr>
                                  <a:spLocks noChangeArrowheads="1"/>
                                </wps:cNvSpPr>
                                <wps:spPr bwMode="auto">
                                  <a:xfrm>
                                    <a:off x="3938" y="1675"/>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84,8%</w:t>
                                      </w:r>
                                    </w:p>
                                  </w:txbxContent>
                                </wps:txbx>
                                <wps:bodyPr rot="0" vert="horz" wrap="none" lIns="0" tIns="0" rIns="0" bIns="0" anchor="t" anchorCtr="0" upright="1">
                                  <a:spAutoFit/>
                                </wps:bodyPr>
                              </wps:wsp>
                              <wps:wsp>
                                <wps:cNvPr id="102" name="Rectangle 93"/>
                                <wps:cNvSpPr>
                                  <a:spLocks noChangeArrowheads="1"/>
                                </wps:cNvSpPr>
                                <wps:spPr bwMode="auto">
                                  <a:xfrm>
                                    <a:off x="30" y="1860"/>
                                    <a:ext cx="5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Engativá</w:t>
                                      </w:r>
                                    </w:p>
                                  </w:txbxContent>
                                </wps:txbx>
                                <wps:bodyPr rot="0" vert="horz" wrap="none" lIns="0" tIns="0" rIns="0" bIns="0" anchor="t" anchorCtr="0" upright="1">
                                  <a:spAutoFit/>
                                </wps:bodyPr>
                              </wps:wsp>
                              <wps:wsp>
                                <wps:cNvPr id="103" name="Rectangle 94"/>
                                <wps:cNvSpPr>
                                  <a:spLocks noChangeArrowheads="1"/>
                                </wps:cNvSpPr>
                                <wps:spPr bwMode="auto">
                                  <a:xfrm>
                                    <a:off x="1487" y="1860"/>
                                    <a:ext cx="45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101,8%</w:t>
                                      </w:r>
                                    </w:p>
                                  </w:txbxContent>
                                </wps:txbx>
                                <wps:bodyPr rot="0" vert="horz" wrap="none" lIns="0" tIns="0" rIns="0" bIns="0" anchor="t" anchorCtr="0" upright="1">
                                  <a:spAutoFit/>
                                </wps:bodyPr>
                              </wps:wsp>
                              <wps:wsp>
                                <wps:cNvPr id="104" name="Rectangle 95"/>
                                <wps:cNvSpPr>
                                  <a:spLocks noChangeArrowheads="1"/>
                                </wps:cNvSpPr>
                                <wps:spPr bwMode="auto">
                                  <a:xfrm>
                                    <a:off x="2270" y="1860"/>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103,8%</w:t>
                                      </w:r>
                                    </w:p>
                                  </w:txbxContent>
                                </wps:txbx>
                                <wps:bodyPr rot="0" vert="horz" wrap="none" lIns="0" tIns="0" rIns="0" bIns="0" anchor="t" anchorCtr="0" upright="1">
                                  <a:spAutoFit/>
                                </wps:bodyPr>
                              </wps:wsp>
                              <wps:wsp>
                                <wps:cNvPr id="105" name="Rectangle 96"/>
                                <wps:cNvSpPr>
                                  <a:spLocks noChangeArrowheads="1"/>
                                </wps:cNvSpPr>
                                <wps:spPr bwMode="auto">
                                  <a:xfrm>
                                    <a:off x="3064" y="1860"/>
                                    <a:ext cx="47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103,0%</w:t>
                                      </w:r>
                                    </w:p>
                                  </w:txbxContent>
                                </wps:txbx>
                                <wps:bodyPr rot="0" vert="horz" wrap="none" lIns="0" tIns="0" rIns="0" bIns="0" anchor="t" anchorCtr="0" upright="1">
                                  <a:spAutoFit/>
                                </wps:bodyPr>
                              </wps:wsp>
                              <wps:wsp>
                                <wps:cNvPr id="106" name="Rectangle 97"/>
                                <wps:cNvSpPr>
                                  <a:spLocks noChangeArrowheads="1"/>
                                </wps:cNvSpPr>
                                <wps:spPr bwMode="auto">
                                  <a:xfrm>
                                    <a:off x="3938" y="1860"/>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98,8%</w:t>
                                      </w:r>
                                    </w:p>
                                  </w:txbxContent>
                                </wps:txbx>
                                <wps:bodyPr rot="0" vert="horz" wrap="none" lIns="0" tIns="0" rIns="0" bIns="0" anchor="t" anchorCtr="0" upright="1">
                                  <a:spAutoFit/>
                                </wps:bodyPr>
                              </wps:wsp>
                              <wps:wsp>
                                <wps:cNvPr id="107" name="Rectangle 98"/>
                                <wps:cNvSpPr>
                                  <a:spLocks noChangeArrowheads="1"/>
                                </wps:cNvSpPr>
                                <wps:spPr bwMode="auto">
                                  <a:xfrm>
                                    <a:off x="30" y="2045"/>
                                    <a:ext cx="28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Suba</w:t>
                                      </w:r>
                                    </w:p>
                                  </w:txbxContent>
                                </wps:txbx>
                                <wps:bodyPr rot="0" vert="horz" wrap="none" lIns="0" tIns="0" rIns="0" bIns="0" anchor="t" anchorCtr="0" upright="1">
                                  <a:spAutoFit/>
                                </wps:bodyPr>
                              </wps:wsp>
                              <wps:wsp>
                                <wps:cNvPr id="108" name="Rectangle 99"/>
                                <wps:cNvSpPr>
                                  <a:spLocks noChangeArrowheads="1"/>
                                </wps:cNvSpPr>
                                <wps:spPr bwMode="auto">
                                  <a:xfrm>
                                    <a:off x="1487" y="2045"/>
                                    <a:ext cx="45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105,1%</w:t>
                                      </w:r>
                                    </w:p>
                                  </w:txbxContent>
                                </wps:txbx>
                                <wps:bodyPr rot="0" vert="horz" wrap="none" lIns="0" tIns="0" rIns="0" bIns="0" anchor="t" anchorCtr="0" upright="1">
                                  <a:spAutoFit/>
                                </wps:bodyPr>
                              </wps:wsp>
                              <wps:wsp>
                                <wps:cNvPr id="109" name="Rectangle 100"/>
                                <wps:cNvSpPr>
                                  <a:spLocks noChangeArrowheads="1"/>
                                </wps:cNvSpPr>
                                <wps:spPr bwMode="auto">
                                  <a:xfrm>
                                    <a:off x="2270" y="2045"/>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105,2%</w:t>
                                      </w:r>
                                    </w:p>
                                  </w:txbxContent>
                                </wps:txbx>
                                <wps:bodyPr rot="0" vert="horz" wrap="none" lIns="0" tIns="0" rIns="0" bIns="0" anchor="t" anchorCtr="0" upright="1">
                                  <a:spAutoFit/>
                                </wps:bodyPr>
                              </wps:wsp>
                              <wps:wsp>
                                <wps:cNvPr id="110" name="Rectangle 101"/>
                                <wps:cNvSpPr>
                                  <a:spLocks noChangeArrowheads="1"/>
                                </wps:cNvSpPr>
                                <wps:spPr bwMode="auto">
                                  <a:xfrm>
                                    <a:off x="3074" y="2045"/>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106,2%</w:t>
                                      </w:r>
                                    </w:p>
                                  </w:txbxContent>
                                </wps:txbx>
                                <wps:bodyPr rot="0" vert="horz" wrap="none" lIns="0" tIns="0" rIns="0" bIns="0" anchor="t" anchorCtr="0" upright="1">
                                  <a:spAutoFit/>
                                </wps:bodyPr>
                              </wps:wsp>
                              <wps:wsp>
                                <wps:cNvPr id="111" name="Rectangle 102"/>
                                <wps:cNvSpPr>
                                  <a:spLocks noChangeArrowheads="1"/>
                                </wps:cNvSpPr>
                                <wps:spPr bwMode="auto">
                                  <a:xfrm>
                                    <a:off x="3898" y="2045"/>
                                    <a:ext cx="45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101,7%</w:t>
                                      </w:r>
                                    </w:p>
                                  </w:txbxContent>
                                </wps:txbx>
                                <wps:bodyPr rot="0" vert="horz" wrap="none" lIns="0" tIns="0" rIns="0" bIns="0" anchor="t" anchorCtr="0" upright="1">
                                  <a:spAutoFit/>
                                </wps:bodyPr>
                              </wps:wsp>
                              <wps:wsp>
                                <wps:cNvPr id="112" name="Rectangle 103"/>
                                <wps:cNvSpPr>
                                  <a:spLocks noChangeArrowheads="1"/>
                                </wps:cNvSpPr>
                                <wps:spPr bwMode="auto">
                                  <a:xfrm>
                                    <a:off x="30" y="2230"/>
                                    <a:ext cx="89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Barrios Unidos</w:t>
                                      </w:r>
                                    </w:p>
                                  </w:txbxContent>
                                </wps:txbx>
                                <wps:bodyPr rot="0" vert="horz" wrap="none" lIns="0" tIns="0" rIns="0" bIns="0" anchor="t" anchorCtr="0" upright="1">
                                  <a:spAutoFit/>
                                </wps:bodyPr>
                              </wps:wsp>
                              <wps:wsp>
                                <wps:cNvPr id="113" name="Rectangle 104"/>
                                <wps:cNvSpPr>
                                  <a:spLocks noChangeArrowheads="1"/>
                                </wps:cNvSpPr>
                                <wps:spPr bwMode="auto">
                                  <a:xfrm>
                                    <a:off x="1517" y="2230"/>
                                    <a:ext cx="42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90,3%</w:t>
                                      </w:r>
                                    </w:p>
                                  </w:txbxContent>
                                </wps:txbx>
                                <wps:bodyPr rot="0" vert="horz" wrap="none" lIns="0" tIns="0" rIns="0" bIns="0" anchor="t" anchorCtr="0" upright="1">
                                  <a:spAutoFit/>
                                </wps:bodyPr>
                              </wps:wsp>
                              <wps:wsp>
                                <wps:cNvPr id="114" name="Rectangle 105"/>
                                <wps:cNvSpPr>
                                  <a:spLocks noChangeArrowheads="1"/>
                                </wps:cNvSpPr>
                                <wps:spPr bwMode="auto">
                                  <a:xfrm>
                                    <a:off x="2331" y="2230"/>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86,8%</w:t>
                                      </w:r>
                                    </w:p>
                                  </w:txbxContent>
                                </wps:txbx>
                                <wps:bodyPr rot="0" vert="horz" wrap="none" lIns="0" tIns="0" rIns="0" bIns="0" anchor="t" anchorCtr="0" upright="1">
                                  <a:spAutoFit/>
                                </wps:bodyPr>
                              </wps:wsp>
                              <wps:wsp>
                                <wps:cNvPr id="115" name="Rectangle 106"/>
                                <wps:cNvSpPr>
                                  <a:spLocks noChangeArrowheads="1"/>
                                </wps:cNvSpPr>
                                <wps:spPr bwMode="auto">
                                  <a:xfrm>
                                    <a:off x="3134" y="2230"/>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87,5%</w:t>
                                      </w:r>
                                    </w:p>
                                  </w:txbxContent>
                                </wps:txbx>
                                <wps:bodyPr rot="0" vert="horz" wrap="none" lIns="0" tIns="0" rIns="0" bIns="0" anchor="t" anchorCtr="0" upright="1">
                                  <a:spAutoFit/>
                                </wps:bodyPr>
                              </wps:wsp>
                              <wps:wsp>
                                <wps:cNvPr id="116" name="Rectangle 107"/>
                                <wps:cNvSpPr>
                                  <a:spLocks noChangeArrowheads="1"/>
                                </wps:cNvSpPr>
                                <wps:spPr bwMode="auto">
                                  <a:xfrm>
                                    <a:off x="3938" y="2230"/>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82,8%</w:t>
                                      </w:r>
                                    </w:p>
                                  </w:txbxContent>
                                </wps:txbx>
                                <wps:bodyPr rot="0" vert="horz" wrap="none" lIns="0" tIns="0" rIns="0" bIns="0" anchor="t" anchorCtr="0" upright="1">
                                  <a:spAutoFit/>
                                </wps:bodyPr>
                              </wps:wsp>
                              <wps:wsp>
                                <wps:cNvPr id="117" name="Rectangle 108"/>
                                <wps:cNvSpPr>
                                  <a:spLocks noChangeArrowheads="1"/>
                                </wps:cNvSpPr>
                                <wps:spPr bwMode="auto">
                                  <a:xfrm>
                                    <a:off x="30" y="2415"/>
                                    <a:ext cx="6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Teusaquillo</w:t>
                                      </w:r>
                                    </w:p>
                                  </w:txbxContent>
                                </wps:txbx>
                                <wps:bodyPr rot="0" vert="horz" wrap="none" lIns="0" tIns="0" rIns="0" bIns="0" anchor="t" anchorCtr="0" upright="1">
                                  <a:spAutoFit/>
                                </wps:bodyPr>
                              </wps:wsp>
                              <wps:wsp>
                                <wps:cNvPr id="118" name="Rectangle 109"/>
                                <wps:cNvSpPr>
                                  <a:spLocks noChangeArrowheads="1"/>
                                </wps:cNvSpPr>
                                <wps:spPr bwMode="auto">
                                  <a:xfrm>
                                    <a:off x="1497" y="2415"/>
                                    <a:ext cx="4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119,8%</w:t>
                                      </w:r>
                                    </w:p>
                                  </w:txbxContent>
                                </wps:txbx>
                                <wps:bodyPr rot="0" vert="horz" wrap="none" lIns="0" tIns="0" rIns="0" bIns="0" anchor="t" anchorCtr="0" upright="1">
                                  <a:spAutoFit/>
                                </wps:bodyPr>
                              </wps:wsp>
                              <wps:wsp>
                                <wps:cNvPr id="119" name="Rectangle 110"/>
                                <wps:cNvSpPr>
                                  <a:spLocks noChangeArrowheads="1"/>
                                </wps:cNvSpPr>
                                <wps:spPr bwMode="auto">
                                  <a:xfrm>
                                    <a:off x="2281" y="2415"/>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124,3%</w:t>
                                      </w:r>
                                    </w:p>
                                  </w:txbxContent>
                                </wps:txbx>
                                <wps:bodyPr rot="0" vert="horz" wrap="none" lIns="0" tIns="0" rIns="0" bIns="0" anchor="t" anchorCtr="0" upright="1">
                                  <a:spAutoFit/>
                                </wps:bodyPr>
                              </wps:wsp>
                              <wps:wsp>
                                <wps:cNvPr id="120" name="Rectangle 111"/>
                                <wps:cNvSpPr>
                                  <a:spLocks noChangeArrowheads="1"/>
                                </wps:cNvSpPr>
                                <wps:spPr bwMode="auto">
                                  <a:xfrm>
                                    <a:off x="3084" y="2415"/>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126,2%</w:t>
                                      </w:r>
                                    </w:p>
                                  </w:txbxContent>
                                </wps:txbx>
                                <wps:bodyPr rot="0" vert="horz" wrap="none" lIns="0" tIns="0" rIns="0" bIns="0" anchor="t" anchorCtr="0" upright="1">
                                  <a:spAutoFit/>
                                </wps:bodyPr>
                              </wps:wsp>
                              <wps:wsp>
                                <wps:cNvPr id="121" name="Rectangle 112"/>
                                <wps:cNvSpPr>
                                  <a:spLocks noChangeArrowheads="1"/>
                                </wps:cNvSpPr>
                                <wps:spPr bwMode="auto">
                                  <a:xfrm>
                                    <a:off x="3888" y="2415"/>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133,6%</w:t>
                                      </w:r>
                                    </w:p>
                                  </w:txbxContent>
                                </wps:txbx>
                                <wps:bodyPr rot="0" vert="horz" wrap="none" lIns="0" tIns="0" rIns="0" bIns="0" anchor="t" anchorCtr="0" upright="1">
                                  <a:spAutoFit/>
                                </wps:bodyPr>
                              </wps:wsp>
                              <wps:wsp>
                                <wps:cNvPr id="122" name="Rectangle 113"/>
                                <wps:cNvSpPr>
                                  <a:spLocks noChangeArrowheads="1"/>
                                </wps:cNvSpPr>
                                <wps:spPr bwMode="auto">
                                  <a:xfrm>
                                    <a:off x="30" y="2600"/>
                                    <a:ext cx="74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Los Mártires</w:t>
                                      </w:r>
                                    </w:p>
                                  </w:txbxContent>
                                </wps:txbx>
                                <wps:bodyPr rot="0" vert="horz" wrap="none" lIns="0" tIns="0" rIns="0" bIns="0" anchor="t" anchorCtr="0" upright="1">
                                  <a:spAutoFit/>
                                </wps:bodyPr>
                              </wps:wsp>
                              <wps:wsp>
                                <wps:cNvPr id="123" name="Rectangle 114"/>
                                <wps:cNvSpPr>
                                  <a:spLocks noChangeArrowheads="1"/>
                                </wps:cNvSpPr>
                                <wps:spPr bwMode="auto">
                                  <a:xfrm>
                                    <a:off x="1477" y="2600"/>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144,4%</w:t>
                                      </w:r>
                                    </w:p>
                                  </w:txbxContent>
                                </wps:txbx>
                                <wps:bodyPr rot="0" vert="horz" wrap="none" lIns="0" tIns="0" rIns="0" bIns="0" anchor="t" anchorCtr="0" upright="1">
                                  <a:spAutoFit/>
                                </wps:bodyPr>
                              </wps:wsp>
                              <wps:wsp>
                                <wps:cNvPr id="124" name="Rectangle 115"/>
                                <wps:cNvSpPr>
                                  <a:spLocks noChangeArrowheads="1"/>
                                </wps:cNvSpPr>
                                <wps:spPr bwMode="auto">
                                  <a:xfrm>
                                    <a:off x="2281" y="2600"/>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144,5%</w:t>
                                      </w:r>
                                    </w:p>
                                  </w:txbxContent>
                                </wps:txbx>
                                <wps:bodyPr rot="0" vert="horz" wrap="none" lIns="0" tIns="0" rIns="0" bIns="0" anchor="t" anchorCtr="0" upright="1">
                                  <a:spAutoFit/>
                                </wps:bodyPr>
                              </wps:wsp>
                              <wps:wsp>
                                <wps:cNvPr id="125" name="Rectangle 116"/>
                                <wps:cNvSpPr>
                                  <a:spLocks noChangeArrowheads="1"/>
                                </wps:cNvSpPr>
                                <wps:spPr bwMode="auto">
                                  <a:xfrm>
                                    <a:off x="3084" y="2600"/>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146,7%</w:t>
                                      </w:r>
                                    </w:p>
                                  </w:txbxContent>
                                </wps:txbx>
                                <wps:bodyPr rot="0" vert="horz" wrap="none" lIns="0" tIns="0" rIns="0" bIns="0" anchor="t" anchorCtr="0" upright="1">
                                  <a:spAutoFit/>
                                </wps:bodyPr>
                              </wps:wsp>
                              <wps:wsp>
                                <wps:cNvPr id="126" name="Rectangle 117"/>
                                <wps:cNvSpPr>
                                  <a:spLocks noChangeArrowheads="1"/>
                                </wps:cNvSpPr>
                                <wps:spPr bwMode="auto">
                                  <a:xfrm>
                                    <a:off x="3888" y="2600"/>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145,3%</w:t>
                                      </w:r>
                                    </w:p>
                                  </w:txbxContent>
                                </wps:txbx>
                                <wps:bodyPr rot="0" vert="horz" wrap="none" lIns="0" tIns="0" rIns="0" bIns="0" anchor="t" anchorCtr="0" upright="1">
                                  <a:spAutoFit/>
                                </wps:bodyPr>
                              </wps:wsp>
                              <wps:wsp>
                                <wps:cNvPr id="127" name="Rectangle 118"/>
                                <wps:cNvSpPr>
                                  <a:spLocks noChangeArrowheads="1"/>
                                </wps:cNvSpPr>
                                <wps:spPr bwMode="auto">
                                  <a:xfrm>
                                    <a:off x="30" y="2785"/>
                                    <a:ext cx="97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Antonio Nariño</w:t>
                                      </w:r>
                                    </w:p>
                                  </w:txbxContent>
                                </wps:txbx>
                                <wps:bodyPr rot="0" vert="horz" wrap="none" lIns="0" tIns="0" rIns="0" bIns="0" anchor="t" anchorCtr="0" upright="1">
                                  <a:spAutoFit/>
                                </wps:bodyPr>
                              </wps:wsp>
                              <wps:wsp>
                                <wps:cNvPr id="128" name="Rectangle 119"/>
                                <wps:cNvSpPr>
                                  <a:spLocks noChangeArrowheads="1"/>
                                </wps:cNvSpPr>
                                <wps:spPr bwMode="auto">
                                  <a:xfrm>
                                    <a:off x="1497" y="2785"/>
                                    <a:ext cx="4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121,4%</w:t>
                                      </w:r>
                                    </w:p>
                                  </w:txbxContent>
                                </wps:txbx>
                                <wps:bodyPr rot="0" vert="horz" wrap="none" lIns="0" tIns="0" rIns="0" bIns="0" anchor="t" anchorCtr="0" upright="1">
                                  <a:spAutoFit/>
                                </wps:bodyPr>
                              </wps:wsp>
                              <wps:wsp>
                                <wps:cNvPr id="129" name="Rectangle 120"/>
                                <wps:cNvSpPr>
                                  <a:spLocks noChangeArrowheads="1"/>
                                </wps:cNvSpPr>
                                <wps:spPr bwMode="auto">
                                  <a:xfrm>
                                    <a:off x="2281" y="2785"/>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126,2%</w:t>
                                      </w:r>
                                    </w:p>
                                  </w:txbxContent>
                                </wps:txbx>
                                <wps:bodyPr rot="0" vert="horz" wrap="none" lIns="0" tIns="0" rIns="0" bIns="0" anchor="t" anchorCtr="0" upright="1">
                                  <a:spAutoFit/>
                                </wps:bodyPr>
                              </wps:wsp>
                              <wps:wsp>
                                <wps:cNvPr id="130" name="Rectangle 121"/>
                                <wps:cNvSpPr>
                                  <a:spLocks noChangeArrowheads="1"/>
                                </wps:cNvSpPr>
                                <wps:spPr bwMode="auto">
                                  <a:xfrm>
                                    <a:off x="3084" y="2785"/>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123,4%</w:t>
                                      </w:r>
                                    </w:p>
                                  </w:txbxContent>
                                </wps:txbx>
                                <wps:bodyPr rot="0" vert="horz" wrap="none" lIns="0" tIns="0" rIns="0" bIns="0" anchor="t" anchorCtr="0" upright="1">
                                  <a:spAutoFit/>
                                </wps:bodyPr>
                              </wps:wsp>
                              <wps:wsp>
                                <wps:cNvPr id="131" name="Rectangle 122"/>
                                <wps:cNvSpPr>
                                  <a:spLocks noChangeArrowheads="1"/>
                                </wps:cNvSpPr>
                                <wps:spPr bwMode="auto">
                                  <a:xfrm>
                                    <a:off x="3888" y="2785"/>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125,5%</w:t>
                                      </w:r>
                                    </w:p>
                                  </w:txbxContent>
                                </wps:txbx>
                                <wps:bodyPr rot="0" vert="horz" wrap="none" lIns="0" tIns="0" rIns="0" bIns="0" anchor="t" anchorCtr="0" upright="1">
                                  <a:spAutoFit/>
                                </wps:bodyPr>
                              </wps:wsp>
                              <wps:wsp>
                                <wps:cNvPr id="132" name="Rectangle 123"/>
                                <wps:cNvSpPr>
                                  <a:spLocks noChangeArrowheads="1"/>
                                </wps:cNvSpPr>
                                <wps:spPr bwMode="auto">
                                  <a:xfrm>
                                    <a:off x="30" y="2970"/>
                                    <a:ext cx="90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Puente Aranda</w:t>
                                      </w:r>
                                    </w:p>
                                  </w:txbxContent>
                                </wps:txbx>
                                <wps:bodyPr rot="0" vert="horz" wrap="none" lIns="0" tIns="0" rIns="0" bIns="0" anchor="t" anchorCtr="0" upright="1">
                                  <a:spAutoFit/>
                                </wps:bodyPr>
                              </wps:wsp>
                              <wps:wsp>
                                <wps:cNvPr id="133" name="Rectangle 124"/>
                                <wps:cNvSpPr>
                                  <a:spLocks noChangeArrowheads="1"/>
                                </wps:cNvSpPr>
                                <wps:spPr bwMode="auto">
                                  <a:xfrm>
                                    <a:off x="1497" y="2970"/>
                                    <a:ext cx="4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112,4%</w:t>
                                      </w:r>
                                    </w:p>
                                  </w:txbxContent>
                                </wps:txbx>
                                <wps:bodyPr rot="0" vert="horz" wrap="none" lIns="0" tIns="0" rIns="0" bIns="0" anchor="t" anchorCtr="0" upright="1">
                                  <a:spAutoFit/>
                                </wps:bodyPr>
                              </wps:wsp>
                              <wps:wsp>
                                <wps:cNvPr id="134" name="Rectangle 125"/>
                                <wps:cNvSpPr>
                                  <a:spLocks noChangeArrowheads="1"/>
                                </wps:cNvSpPr>
                                <wps:spPr bwMode="auto">
                                  <a:xfrm>
                                    <a:off x="2321" y="2970"/>
                                    <a:ext cx="42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111,3%</w:t>
                                      </w:r>
                                    </w:p>
                                  </w:txbxContent>
                                </wps:txbx>
                                <wps:bodyPr rot="0" vert="horz" wrap="none" lIns="0" tIns="0" rIns="0" bIns="0" anchor="t" anchorCtr="0" upright="1">
                                  <a:spAutoFit/>
                                </wps:bodyPr>
                              </wps:wsp>
                              <wps:wsp>
                                <wps:cNvPr id="135" name="Rectangle 126"/>
                                <wps:cNvSpPr>
                                  <a:spLocks noChangeArrowheads="1"/>
                                </wps:cNvSpPr>
                                <wps:spPr bwMode="auto">
                                  <a:xfrm>
                                    <a:off x="3104" y="2970"/>
                                    <a:ext cx="4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112,4%</w:t>
                                      </w:r>
                                    </w:p>
                                  </w:txbxContent>
                                </wps:txbx>
                                <wps:bodyPr rot="0" vert="horz" wrap="none" lIns="0" tIns="0" rIns="0" bIns="0" anchor="t" anchorCtr="0" upright="1">
                                  <a:spAutoFit/>
                                </wps:bodyPr>
                              </wps:wsp>
                              <wps:wsp>
                                <wps:cNvPr id="136" name="Rectangle 127"/>
                                <wps:cNvSpPr>
                                  <a:spLocks noChangeArrowheads="1"/>
                                </wps:cNvSpPr>
                                <wps:spPr bwMode="auto">
                                  <a:xfrm>
                                    <a:off x="3898" y="2970"/>
                                    <a:ext cx="45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114,0%</w:t>
                                      </w:r>
                                    </w:p>
                                  </w:txbxContent>
                                </wps:txbx>
                                <wps:bodyPr rot="0" vert="horz" wrap="none" lIns="0" tIns="0" rIns="0" bIns="0" anchor="t" anchorCtr="0" upright="1">
                                  <a:spAutoFit/>
                                </wps:bodyPr>
                              </wps:wsp>
                              <wps:wsp>
                                <wps:cNvPr id="137" name="Rectangle 128"/>
                                <wps:cNvSpPr>
                                  <a:spLocks noChangeArrowheads="1"/>
                                </wps:cNvSpPr>
                                <wps:spPr bwMode="auto">
                                  <a:xfrm>
                                    <a:off x="30" y="3155"/>
                                    <a:ext cx="82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La Candelaria</w:t>
                                      </w:r>
                                    </w:p>
                                  </w:txbxContent>
                                </wps:txbx>
                                <wps:bodyPr rot="0" vert="horz" wrap="none" lIns="0" tIns="0" rIns="0" bIns="0" anchor="t" anchorCtr="0" upright="1">
                                  <a:spAutoFit/>
                                </wps:bodyPr>
                              </wps:wsp>
                              <wps:wsp>
                                <wps:cNvPr id="138" name="Rectangle 129"/>
                                <wps:cNvSpPr>
                                  <a:spLocks noChangeArrowheads="1"/>
                                </wps:cNvSpPr>
                                <wps:spPr bwMode="auto">
                                  <a:xfrm>
                                    <a:off x="1477" y="3155"/>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316,9%</w:t>
                                      </w:r>
                                    </w:p>
                                  </w:txbxContent>
                                </wps:txbx>
                                <wps:bodyPr rot="0" vert="horz" wrap="none" lIns="0" tIns="0" rIns="0" bIns="0" anchor="t" anchorCtr="0" upright="1">
                                  <a:spAutoFit/>
                                </wps:bodyPr>
                              </wps:wsp>
                              <wps:wsp>
                                <wps:cNvPr id="139" name="Rectangle 130"/>
                                <wps:cNvSpPr>
                                  <a:spLocks noChangeArrowheads="1"/>
                                </wps:cNvSpPr>
                                <wps:spPr bwMode="auto">
                                  <a:xfrm>
                                    <a:off x="2260" y="3155"/>
                                    <a:ext cx="49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298,8%</w:t>
                                      </w:r>
                                    </w:p>
                                  </w:txbxContent>
                                </wps:txbx>
                                <wps:bodyPr rot="0" vert="horz" wrap="none" lIns="0" tIns="0" rIns="0" bIns="0" anchor="t" anchorCtr="0" upright="1">
                                  <a:spAutoFit/>
                                </wps:bodyPr>
                              </wps:wsp>
                              <wps:wsp>
                                <wps:cNvPr id="140" name="Rectangle 131"/>
                                <wps:cNvSpPr>
                                  <a:spLocks noChangeArrowheads="1"/>
                                </wps:cNvSpPr>
                                <wps:spPr bwMode="auto">
                                  <a:xfrm>
                                    <a:off x="3054" y="3155"/>
                                    <a:ext cx="50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275,0%</w:t>
                                      </w:r>
                                    </w:p>
                                  </w:txbxContent>
                                </wps:txbx>
                                <wps:bodyPr rot="0" vert="horz" wrap="none" lIns="0" tIns="0" rIns="0" bIns="0" anchor="t" anchorCtr="0" upright="1">
                                  <a:spAutoFit/>
                                </wps:bodyPr>
                              </wps:wsp>
                              <wps:wsp>
                                <wps:cNvPr id="141" name="Rectangle 132"/>
                                <wps:cNvSpPr>
                                  <a:spLocks noChangeArrowheads="1"/>
                                </wps:cNvSpPr>
                                <wps:spPr bwMode="auto">
                                  <a:xfrm>
                                    <a:off x="3888" y="3155"/>
                                    <a:ext cx="4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281,9%</w:t>
                                      </w:r>
                                    </w:p>
                                  </w:txbxContent>
                                </wps:txbx>
                                <wps:bodyPr rot="0" vert="horz" wrap="none" lIns="0" tIns="0" rIns="0" bIns="0" anchor="t" anchorCtr="0" upright="1">
                                  <a:spAutoFit/>
                                </wps:bodyPr>
                              </wps:wsp>
                              <wps:wsp>
                                <wps:cNvPr id="142" name="Rectangle 133"/>
                                <wps:cNvSpPr>
                                  <a:spLocks noChangeArrowheads="1"/>
                                </wps:cNvSpPr>
                                <wps:spPr bwMode="auto">
                                  <a:xfrm>
                                    <a:off x="30" y="3340"/>
                                    <a:ext cx="113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Rafael Uribe Uribe</w:t>
                                      </w:r>
                                    </w:p>
                                  </w:txbxContent>
                                </wps:txbx>
                                <wps:bodyPr rot="0" vert="horz" wrap="none" lIns="0" tIns="0" rIns="0" bIns="0" anchor="t" anchorCtr="0" upright="1">
                                  <a:spAutoFit/>
                                </wps:bodyPr>
                              </wps:wsp>
                              <wps:wsp>
                                <wps:cNvPr id="143" name="Rectangle 134"/>
                                <wps:cNvSpPr>
                                  <a:spLocks noChangeArrowheads="1"/>
                                </wps:cNvSpPr>
                                <wps:spPr bwMode="auto">
                                  <a:xfrm>
                                    <a:off x="1487" y="3340"/>
                                    <a:ext cx="45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121,0%</w:t>
                                      </w:r>
                                    </w:p>
                                  </w:txbxContent>
                                </wps:txbx>
                                <wps:bodyPr rot="0" vert="horz" wrap="none" lIns="0" tIns="0" rIns="0" bIns="0" anchor="t" anchorCtr="0" upright="1">
                                  <a:spAutoFit/>
                                </wps:bodyPr>
                              </wps:wsp>
                              <wps:wsp>
                                <wps:cNvPr id="144" name="Rectangle 135"/>
                                <wps:cNvSpPr>
                                  <a:spLocks noChangeArrowheads="1"/>
                                </wps:cNvSpPr>
                                <wps:spPr bwMode="auto">
                                  <a:xfrm>
                                    <a:off x="2260" y="3340"/>
                                    <a:ext cx="47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120,0%</w:t>
                                      </w:r>
                                    </w:p>
                                  </w:txbxContent>
                                </wps:txbx>
                                <wps:bodyPr rot="0" vert="horz" wrap="none" lIns="0" tIns="0" rIns="0" bIns="0" anchor="t" anchorCtr="0" upright="1">
                                  <a:spAutoFit/>
                                </wps:bodyPr>
                              </wps:wsp>
                              <wps:wsp>
                                <wps:cNvPr id="145" name="Rectangle 136"/>
                                <wps:cNvSpPr>
                                  <a:spLocks noChangeArrowheads="1"/>
                                </wps:cNvSpPr>
                                <wps:spPr bwMode="auto">
                                  <a:xfrm>
                                    <a:off x="3104" y="3340"/>
                                    <a:ext cx="4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122,1%</w:t>
                                      </w:r>
                                    </w:p>
                                  </w:txbxContent>
                                </wps:txbx>
                                <wps:bodyPr rot="0" vert="horz" wrap="none" lIns="0" tIns="0" rIns="0" bIns="0" anchor="t" anchorCtr="0" upright="1">
                                  <a:spAutoFit/>
                                </wps:bodyPr>
                              </wps:wsp>
                              <wps:wsp>
                                <wps:cNvPr id="146" name="Rectangle 137"/>
                                <wps:cNvSpPr>
                                  <a:spLocks noChangeArrowheads="1"/>
                                </wps:cNvSpPr>
                                <wps:spPr bwMode="auto">
                                  <a:xfrm>
                                    <a:off x="3908" y="3340"/>
                                    <a:ext cx="4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118,6%</w:t>
                                      </w:r>
                                    </w:p>
                                  </w:txbxContent>
                                </wps:txbx>
                                <wps:bodyPr rot="0" vert="horz" wrap="none" lIns="0" tIns="0" rIns="0" bIns="0" anchor="t" anchorCtr="0" upright="1">
                                  <a:spAutoFit/>
                                </wps:bodyPr>
                              </wps:wsp>
                              <wps:wsp>
                                <wps:cNvPr id="147" name="Rectangle 138"/>
                                <wps:cNvSpPr>
                                  <a:spLocks noChangeArrowheads="1"/>
                                </wps:cNvSpPr>
                                <wps:spPr bwMode="auto">
                                  <a:xfrm>
                                    <a:off x="30" y="3525"/>
                                    <a:ext cx="91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Ciudad Bolívar</w:t>
                                      </w:r>
                                    </w:p>
                                  </w:txbxContent>
                                </wps:txbx>
                                <wps:bodyPr rot="0" vert="horz" wrap="none" lIns="0" tIns="0" rIns="0" bIns="0" anchor="t" anchorCtr="0" upright="1">
                                  <a:spAutoFit/>
                                </wps:bodyPr>
                              </wps:wsp>
                              <wps:wsp>
                                <wps:cNvPr id="148" name="Rectangle 139"/>
                                <wps:cNvSpPr>
                                  <a:spLocks noChangeArrowheads="1"/>
                                </wps:cNvSpPr>
                                <wps:spPr bwMode="auto">
                                  <a:xfrm>
                                    <a:off x="1527" y="3525"/>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86,2%</w:t>
                                      </w:r>
                                    </w:p>
                                  </w:txbxContent>
                                </wps:txbx>
                                <wps:bodyPr rot="0" vert="horz" wrap="none" lIns="0" tIns="0" rIns="0" bIns="0" anchor="t" anchorCtr="0" upright="1">
                                  <a:spAutoFit/>
                                </wps:bodyPr>
                              </wps:wsp>
                              <wps:wsp>
                                <wps:cNvPr id="149" name="Rectangle 140"/>
                                <wps:cNvSpPr>
                                  <a:spLocks noChangeArrowheads="1"/>
                                </wps:cNvSpPr>
                                <wps:spPr bwMode="auto">
                                  <a:xfrm>
                                    <a:off x="2331" y="3525"/>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87,2%</w:t>
                                      </w:r>
                                    </w:p>
                                  </w:txbxContent>
                                </wps:txbx>
                                <wps:bodyPr rot="0" vert="horz" wrap="none" lIns="0" tIns="0" rIns="0" bIns="0" anchor="t" anchorCtr="0" upright="1">
                                  <a:spAutoFit/>
                                </wps:bodyPr>
                              </wps:wsp>
                              <wps:wsp>
                                <wps:cNvPr id="150" name="Rectangle 141"/>
                                <wps:cNvSpPr>
                                  <a:spLocks noChangeArrowheads="1"/>
                                </wps:cNvSpPr>
                                <wps:spPr bwMode="auto">
                                  <a:xfrm>
                                    <a:off x="3134" y="3525"/>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86,4%</w:t>
                                      </w:r>
                                    </w:p>
                                  </w:txbxContent>
                                </wps:txbx>
                                <wps:bodyPr rot="0" vert="horz" wrap="none" lIns="0" tIns="0" rIns="0" bIns="0" anchor="t" anchorCtr="0" upright="1">
                                  <a:spAutoFit/>
                                </wps:bodyPr>
                              </wps:wsp>
                              <wps:wsp>
                                <wps:cNvPr id="151" name="Rectangle 142"/>
                                <wps:cNvSpPr>
                                  <a:spLocks noChangeArrowheads="1"/>
                                </wps:cNvSpPr>
                                <wps:spPr bwMode="auto">
                                  <a:xfrm>
                                    <a:off x="3938" y="3525"/>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83,5%</w:t>
                                      </w:r>
                                    </w:p>
                                  </w:txbxContent>
                                </wps:txbx>
                                <wps:bodyPr rot="0" vert="horz" wrap="none" lIns="0" tIns="0" rIns="0" bIns="0" anchor="t" anchorCtr="0" upright="1">
                                  <a:spAutoFit/>
                                </wps:bodyPr>
                              </wps:wsp>
                              <wps:wsp>
                                <wps:cNvPr id="152" name="Rectangle 143"/>
                                <wps:cNvSpPr>
                                  <a:spLocks noChangeArrowheads="1"/>
                                </wps:cNvSpPr>
                                <wps:spPr bwMode="auto">
                                  <a:xfrm>
                                    <a:off x="30" y="3710"/>
                                    <a:ext cx="54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i/>
                                          <w:iCs/>
                                          <w:color w:val="000000"/>
                                          <w:sz w:val="14"/>
                                          <w:szCs w:val="14"/>
                                          <w:lang w:val="en-US"/>
                                        </w:rPr>
                                        <w:t>Sumapaz</w:t>
                                      </w:r>
                                    </w:p>
                                  </w:txbxContent>
                                </wps:txbx>
                                <wps:bodyPr rot="0" vert="horz" wrap="none" lIns="0" tIns="0" rIns="0" bIns="0" anchor="t" anchorCtr="0" upright="1">
                                  <a:spAutoFit/>
                                </wps:bodyPr>
                              </wps:wsp>
                              <wps:wsp>
                                <wps:cNvPr id="153" name="Rectangle 144"/>
                                <wps:cNvSpPr>
                                  <a:spLocks noChangeArrowheads="1"/>
                                </wps:cNvSpPr>
                                <wps:spPr bwMode="auto">
                                  <a:xfrm>
                                    <a:off x="1527" y="3710"/>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75,4%</w:t>
                                      </w:r>
                                    </w:p>
                                  </w:txbxContent>
                                </wps:txbx>
                                <wps:bodyPr rot="0" vert="horz" wrap="none" lIns="0" tIns="0" rIns="0" bIns="0" anchor="t" anchorCtr="0" upright="1">
                                  <a:spAutoFit/>
                                </wps:bodyPr>
                              </wps:wsp>
                              <wps:wsp>
                                <wps:cNvPr id="154" name="Rectangle 145"/>
                                <wps:cNvSpPr>
                                  <a:spLocks noChangeArrowheads="1"/>
                                </wps:cNvSpPr>
                                <wps:spPr bwMode="auto">
                                  <a:xfrm>
                                    <a:off x="2351" y="3710"/>
                                    <a:ext cx="39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71,3%</w:t>
                                      </w:r>
                                    </w:p>
                                  </w:txbxContent>
                                </wps:txbx>
                                <wps:bodyPr rot="0" vert="horz" wrap="none" lIns="0" tIns="0" rIns="0" bIns="0" anchor="t" anchorCtr="0" upright="1">
                                  <a:spAutoFit/>
                                </wps:bodyPr>
                              </wps:wsp>
                              <wps:wsp>
                                <wps:cNvPr id="155" name="Rectangle 146"/>
                                <wps:cNvSpPr>
                                  <a:spLocks noChangeArrowheads="1"/>
                                </wps:cNvSpPr>
                                <wps:spPr bwMode="auto">
                                  <a:xfrm>
                                    <a:off x="3134" y="3710"/>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74,5%</w:t>
                                      </w:r>
                                    </w:p>
                                  </w:txbxContent>
                                </wps:txbx>
                                <wps:bodyPr rot="0" vert="horz" wrap="none" lIns="0" tIns="0" rIns="0" bIns="0" anchor="t" anchorCtr="0" upright="1">
                                  <a:spAutoFit/>
                                </wps:bodyPr>
                              </wps:wsp>
                              <wps:wsp>
                                <wps:cNvPr id="156" name="Rectangle 147"/>
                                <wps:cNvSpPr>
                                  <a:spLocks noChangeArrowheads="1"/>
                                </wps:cNvSpPr>
                                <wps:spPr bwMode="auto">
                                  <a:xfrm>
                                    <a:off x="3938" y="3710"/>
                                    <a:ext cx="4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color w:val="000000"/>
                                          <w:sz w:val="14"/>
                                          <w:szCs w:val="14"/>
                                          <w:lang w:val="en-US"/>
                                        </w:rPr>
                                        <w:t>72,8%</w:t>
                                      </w:r>
                                    </w:p>
                                  </w:txbxContent>
                                </wps:txbx>
                                <wps:bodyPr rot="0" vert="horz" wrap="none" lIns="0" tIns="0" rIns="0" bIns="0" anchor="t" anchorCtr="0" upright="1">
                                  <a:spAutoFit/>
                                </wps:bodyPr>
                              </wps:wsp>
                              <wps:wsp>
                                <wps:cNvPr id="157" name="Rectangle 148"/>
                                <wps:cNvSpPr>
                                  <a:spLocks noChangeArrowheads="1"/>
                                </wps:cNvSpPr>
                                <wps:spPr bwMode="auto">
                                  <a:xfrm>
                                    <a:off x="40" y="3895"/>
                                    <a:ext cx="32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Total</w:t>
                                      </w:r>
                                    </w:p>
                                  </w:txbxContent>
                                </wps:txbx>
                                <wps:bodyPr rot="0" vert="horz" wrap="none" lIns="0" tIns="0" rIns="0" bIns="0" anchor="t" anchorCtr="0" upright="1">
                                  <a:spAutoFit/>
                                </wps:bodyPr>
                              </wps:wsp>
                              <wps:wsp>
                                <wps:cNvPr id="158" name="Rectangle 149"/>
                                <wps:cNvSpPr>
                                  <a:spLocks noChangeArrowheads="1"/>
                                </wps:cNvSpPr>
                                <wps:spPr bwMode="auto">
                                  <a:xfrm>
                                    <a:off x="1396" y="3895"/>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102,6%</w:t>
                                      </w:r>
                                    </w:p>
                                  </w:txbxContent>
                                </wps:txbx>
                                <wps:bodyPr rot="0" vert="horz" wrap="none" lIns="0" tIns="0" rIns="0" bIns="0" anchor="t" anchorCtr="0" upright="1">
                                  <a:spAutoFit/>
                                </wps:bodyPr>
                              </wps:wsp>
                              <wps:wsp>
                                <wps:cNvPr id="159" name="Rectangle 150"/>
                                <wps:cNvSpPr>
                                  <a:spLocks noChangeArrowheads="1"/>
                                </wps:cNvSpPr>
                                <wps:spPr bwMode="auto">
                                  <a:xfrm>
                                    <a:off x="2200" y="3895"/>
                                    <a:ext cx="47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102,8%</w:t>
                                      </w:r>
                                    </w:p>
                                  </w:txbxContent>
                                </wps:txbx>
                                <wps:bodyPr rot="0" vert="horz" wrap="none" lIns="0" tIns="0" rIns="0" bIns="0" anchor="t" anchorCtr="0" upright="1">
                                  <a:spAutoFit/>
                                </wps:bodyPr>
                              </wps:wsp>
                              <wps:wsp>
                                <wps:cNvPr id="160" name="Rectangle 151"/>
                                <wps:cNvSpPr>
                                  <a:spLocks noChangeArrowheads="1"/>
                                </wps:cNvSpPr>
                                <wps:spPr bwMode="auto">
                                  <a:xfrm>
                                    <a:off x="3024" y="3895"/>
                                    <a:ext cx="45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103,1%</w:t>
                                      </w:r>
                                    </w:p>
                                  </w:txbxContent>
                                </wps:txbx>
                                <wps:bodyPr rot="0" vert="horz" wrap="none" lIns="0" tIns="0" rIns="0" bIns="0" anchor="t" anchorCtr="0" upright="1">
                                  <a:spAutoFit/>
                                </wps:bodyPr>
                              </wps:wsp>
                              <wps:wsp>
                                <wps:cNvPr id="161" name="Rectangle 152"/>
                                <wps:cNvSpPr>
                                  <a:spLocks noChangeArrowheads="1"/>
                                </wps:cNvSpPr>
                                <wps:spPr bwMode="auto">
                                  <a:xfrm>
                                    <a:off x="3818" y="3895"/>
                                    <a:ext cx="45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322" w:rsidRDefault="00DE7322" w:rsidP="00AB0F4E">
                                      <w:r>
                                        <w:rPr>
                                          <w:rFonts w:ascii="Maiandra GD" w:hAnsi="Maiandra GD" w:cs="Maiandra GD"/>
                                          <w:b/>
                                          <w:bCs/>
                                          <w:color w:val="000000"/>
                                          <w:sz w:val="14"/>
                                          <w:szCs w:val="14"/>
                                          <w:lang w:val="en-US"/>
                                        </w:rPr>
                                        <w:t>101,0%</w:t>
                                      </w:r>
                                    </w:p>
                                  </w:txbxContent>
                                </wps:txbx>
                                <wps:bodyPr rot="0" vert="horz" wrap="none" lIns="0" tIns="0" rIns="0" bIns="0" anchor="t" anchorCtr="0" upright="1">
                                  <a:spAutoFit/>
                                </wps:bodyPr>
                              </wps:wsp>
                              <wps:wsp>
                                <wps:cNvPr id="162" name="Rectangle 153"/>
                                <wps:cNvSpPr>
                                  <a:spLocks noChangeArrowheads="1"/>
                                </wps:cNvSpPr>
                                <wps:spPr bwMode="auto">
                                  <a:xfrm>
                                    <a:off x="0" y="0"/>
                                    <a:ext cx="10"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54"/>
                                <wps:cNvCnPr/>
                                <wps:spPr bwMode="auto">
                                  <a:xfrm>
                                    <a:off x="10" y="0"/>
                                    <a:ext cx="1115" cy="1"/>
                                  </a:xfrm>
                                  <a:prstGeom prst="line">
                                    <a:avLst/>
                                  </a:prstGeom>
                                  <a:noFill/>
                                  <a:ln w="0">
                                    <a:solidFill>
                                      <a:srgbClr val="FFC000"/>
                                    </a:solidFill>
                                    <a:round/>
                                    <a:headEnd/>
                                    <a:tailEnd/>
                                  </a:ln>
                                  <a:extLst>
                                    <a:ext uri="{909E8E84-426E-40DD-AFC4-6F175D3DCCD1}">
                                      <a14:hiddenFill xmlns:a14="http://schemas.microsoft.com/office/drawing/2010/main">
                                        <a:noFill/>
                                      </a14:hiddenFill>
                                    </a:ext>
                                  </a:extLst>
                                </wps:spPr>
                                <wps:bodyPr/>
                              </wps:wsp>
                              <wps:wsp>
                                <wps:cNvPr id="164" name="Rectangle 155"/>
                                <wps:cNvSpPr>
                                  <a:spLocks noChangeArrowheads="1"/>
                                </wps:cNvSpPr>
                                <wps:spPr bwMode="auto">
                                  <a:xfrm>
                                    <a:off x="10" y="0"/>
                                    <a:ext cx="1115" cy="1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6"/>
                                <wps:cNvSpPr>
                                  <a:spLocks noChangeArrowheads="1"/>
                                </wps:cNvSpPr>
                                <wps:spPr bwMode="auto">
                                  <a:xfrm>
                                    <a:off x="1125" y="0"/>
                                    <a:ext cx="10"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7"/>
                                <wps:cNvSpPr>
                                  <a:spLocks noChangeArrowheads="1"/>
                                </wps:cNvSpPr>
                                <wps:spPr bwMode="auto">
                                  <a:xfrm>
                                    <a:off x="1929" y="0"/>
                                    <a:ext cx="10"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8"/>
                                <wps:cNvSpPr>
                                  <a:spLocks noChangeArrowheads="1"/>
                                </wps:cNvSpPr>
                                <wps:spPr bwMode="auto">
                                  <a:xfrm>
                                    <a:off x="2733" y="0"/>
                                    <a:ext cx="10"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9"/>
                                <wps:cNvSpPr>
                                  <a:spLocks noChangeArrowheads="1"/>
                                </wps:cNvSpPr>
                                <wps:spPr bwMode="auto">
                                  <a:xfrm>
                                    <a:off x="3536" y="0"/>
                                    <a:ext cx="10"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60"/>
                                <wps:cNvCnPr/>
                                <wps:spPr bwMode="auto">
                                  <a:xfrm>
                                    <a:off x="1135" y="0"/>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161"/>
                                <wps:cNvSpPr>
                                  <a:spLocks noChangeArrowheads="1"/>
                                </wps:cNvSpPr>
                                <wps:spPr bwMode="auto">
                                  <a:xfrm>
                                    <a:off x="1135" y="0"/>
                                    <a:ext cx="32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2"/>
                                <wps:cNvSpPr>
                                  <a:spLocks noChangeArrowheads="1"/>
                                </wps:cNvSpPr>
                                <wps:spPr bwMode="auto">
                                  <a:xfrm>
                                    <a:off x="4340" y="0"/>
                                    <a:ext cx="10"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63"/>
                                <wps:cNvCnPr/>
                                <wps:spPr bwMode="auto">
                                  <a:xfrm>
                                    <a:off x="0" y="0"/>
                                    <a:ext cx="1" cy="185"/>
                                  </a:xfrm>
                                  <a:prstGeom prst="line">
                                    <a:avLst/>
                                  </a:prstGeom>
                                  <a:noFill/>
                                  <a:ln w="0">
                                    <a:solidFill>
                                      <a:srgbClr val="FFC000"/>
                                    </a:solidFill>
                                    <a:round/>
                                    <a:headEnd/>
                                    <a:tailEnd/>
                                  </a:ln>
                                  <a:extLst>
                                    <a:ext uri="{909E8E84-426E-40DD-AFC4-6F175D3DCCD1}">
                                      <a14:hiddenFill xmlns:a14="http://schemas.microsoft.com/office/drawing/2010/main">
                                        <a:noFill/>
                                      </a14:hiddenFill>
                                    </a:ext>
                                  </a:extLst>
                                </wps:spPr>
                                <wps:bodyPr/>
                              </wps:wsp>
                              <wps:wsp>
                                <wps:cNvPr id="173" name="Rectangle 164"/>
                                <wps:cNvSpPr>
                                  <a:spLocks noChangeArrowheads="1"/>
                                </wps:cNvSpPr>
                                <wps:spPr bwMode="auto">
                                  <a:xfrm>
                                    <a:off x="0" y="0"/>
                                    <a:ext cx="10" cy="1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65"/>
                                <wps:cNvCnPr/>
                                <wps:spPr bwMode="auto">
                                  <a:xfrm>
                                    <a:off x="10" y="185"/>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166"/>
                                <wps:cNvSpPr>
                                  <a:spLocks noChangeArrowheads="1"/>
                                </wps:cNvSpPr>
                                <wps:spPr bwMode="auto">
                                  <a:xfrm>
                                    <a:off x="10" y="185"/>
                                    <a:ext cx="11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67"/>
                                <wps:cNvCnPr/>
                                <wps:spPr bwMode="auto">
                                  <a:xfrm>
                                    <a:off x="1135" y="185"/>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168"/>
                                <wps:cNvSpPr>
                                  <a:spLocks noChangeArrowheads="1"/>
                                </wps:cNvSpPr>
                                <wps:spPr bwMode="auto">
                                  <a:xfrm>
                                    <a:off x="1135" y="185"/>
                                    <a:ext cx="32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69"/>
                                <wps:cNvCnPr/>
                                <wps:spPr bwMode="auto">
                                  <a:xfrm>
                                    <a:off x="10" y="370"/>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70"/>
                                <wps:cNvSpPr>
                                  <a:spLocks noChangeArrowheads="1"/>
                                </wps:cNvSpPr>
                                <wps:spPr bwMode="auto">
                                  <a:xfrm>
                                    <a:off x="10" y="370"/>
                                    <a:ext cx="11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71"/>
                                <wps:cNvCnPr/>
                                <wps:spPr bwMode="auto">
                                  <a:xfrm>
                                    <a:off x="1135" y="370"/>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172"/>
                                <wps:cNvSpPr>
                                  <a:spLocks noChangeArrowheads="1"/>
                                </wps:cNvSpPr>
                                <wps:spPr bwMode="auto">
                                  <a:xfrm>
                                    <a:off x="1135" y="370"/>
                                    <a:ext cx="32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73"/>
                                <wps:cNvCnPr/>
                                <wps:spPr bwMode="auto">
                                  <a:xfrm>
                                    <a:off x="10" y="555"/>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74"/>
                                <wps:cNvSpPr>
                                  <a:spLocks noChangeArrowheads="1"/>
                                </wps:cNvSpPr>
                                <wps:spPr bwMode="auto">
                                  <a:xfrm>
                                    <a:off x="10" y="555"/>
                                    <a:ext cx="11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75"/>
                                <wps:cNvCnPr/>
                                <wps:spPr bwMode="auto">
                                  <a:xfrm>
                                    <a:off x="1135" y="555"/>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176"/>
                                <wps:cNvSpPr>
                                  <a:spLocks noChangeArrowheads="1"/>
                                </wps:cNvSpPr>
                                <wps:spPr bwMode="auto">
                                  <a:xfrm>
                                    <a:off x="1135" y="555"/>
                                    <a:ext cx="32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77"/>
                                <wps:cNvCnPr/>
                                <wps:spPr bwMode="auto">
                                  <a:xfrm>
                                    <a:off x="10" y="740"/>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178"/>
                                <wps:cNvSpPr>
                                  <a:spLocks noChangeArrowheads="1"/>
                                </wps:cNvSpPr>
                                <wps:spPr bwMode="auto">
                                  <a:xfrm>
                                    <a:off x="10" y="740"/>
                                    <a:ext cx="11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79"/>
                                <wps:cNvCnPr/>
                                <wps:spPr bwMode="auto">
                                  <a:xfrm>
                                    <a:off x="1135" y="740"/>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80"/>
                                <wps:cNvSpPr>
                                  <a:spLocks noChangeArrowheads="1"/>
                                </wps:cNvSpPr>
                                <wps:spPr bwMode="auto">
                                  <a:xfrm>
                                    <a:off x="1135" y="740"/>
                                    <a:ext cx="32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81"/>
                                <wps:cNvCnPr/>
                                <wps:spPr bwMode="auto">
                                  <a:xfrm>
                                    <a:off x="10" y="925"/>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182"/>
                                <wps:cNvSpPr>
                                  <a:spLocks noChangeArrowheads="1"/>
                                </wps:cNvSpPr>
                                <wps:spPr bwMode="auto">
                                  <a:xfrm>
                                    <a:off x="10" y="925"/>
                                    <a:ext cx="11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83"/>
                                <wps:cNvCnPr/>
                                <wps:spPr bwMode="auto">
                                  <a:xfrm>
                                    <a:off x="1135" y="925"/>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 name="Rectangle 184"/>
                                <wps:cNvSpPr>
                                  <a:spLocks noChangeArrowheads="1"/>
                                </wps:cNvSpPr>
                                <wps:spPr bwMode="auto">
                                  <a:xfrm>
                                    <a:off x="1135" y="925"/>
                                    <a:ext cx="32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85"/>
                                <wps:cNvCnPr/>
                                <wps:spPr bwMode="auto">
                                  <a:xfrm>
                                    <a:off x="10" y="1110"/>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186"/>
                                <wps:cNvSpPr>
                                  <a:spLocks noChangeArrowheads="1"/>
                                </wps:cNvSpPr>
                                <wps:spPr bwMode="auto">
                                  <a:xfrm>
                                    <a:off x="10" y="1110"/>
                                    <a:ext cx="11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87"/>
                                <wps:cNvCnPr/>
                                <wps:spPr bwMode="auto">
                                  <a:xfrm>
                                    <a:off x="1135" y="1110"/>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188"/>
                                <wps:cNvSpPr>
                                  <a:spLocks noChangeArrowheads="1"/>
                                </wps:cNvSpPr>
                                <wps:spPr bwMode="auto">
                                  <a:xfrm>
                                    <a:off x="1135" y="1110"/>
                                    <a:ext cx="32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89"/>
                                <wps:cNvCnPr/>
                                <wps:spPr bwMode="auto">
                                  <a:xfrm>
                                    <a:off x="10" y="1295"/>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190"/>
                                <wps:cNvSpPr>
                                  <a:spLocks noChangeArrowheads="1"/>
                                </wps:cNvSpPr>
                                <wps:spPr bwMode="auto">
                                  <a:xfrm>
                                    <a:off x="10" y="1295"/>
                                    <a:ext cx="11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91"/>
                                <wps:cNvCnPr/>
                                <wps:spPr bwMode="auto">
                                  <a:xfrm>
                                    <a:off x="1135" y="1295"/>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192"/>
                                <wps:cNvSpPr>
                                  <a:spLocks noChangeArrowheads="1"/>
                                </wps:cNvSpPr>
                                <wps:spPr bwMode="auto">
                                  <a:xfrm>
                                    <a:off x="1135" y="1295"/>
                                    <a:ext cx="32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93"/>
                                <wps:cNvCnPr/>
                                <wps:spPr bwMode="auto">
                                  <a:xfrm>
                                    <a:off x="10" y="1480"/>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194"/>
                                <wps:cNvSpPr>
                                  <a:spLocks noChangeArrowheads="1"/>
                                </wps:cNvSpPr>
                                <wps:spPr bwMode="auto">
                                  <a:xfrm>
                                    <a:off x="10" y="1480"/>
                                    <a:ext cx="11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95"/>
                                <wps:cNvCnPr/>
                                <wps:spPr bwMode="auto">
                                  <a:xfrm>
                                    <a:off x="1135" y="1480"/>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196"/>
                                <wps:cNvSpPr>
                                  <a:spLocks noChangeArrowheads="1"/>
                                </wps:cNvSpPr>
                                <wps:spPr bwMode="auto">
                                  <a:xfrm>
                                    <a:off x="1135" y="1480"/>
                                    <a:ext cx="321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97"/>
                                <wps:cNvCnPr/>
                                <wps:spPr bwMode="auto">
                                  <a:xfrm>
                                    <a:off x="10" y="1665"/>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198"/>
                                <wps:cNvSpPr>
                                  <a:spLocks noChangeArrowheads="1"/>
                                </wps:cNvSpPr>
                                <wps:spPr bwMode="auto">
                                  <a:xfrm>
                                    <a:off x="10" y="1665"/>
                                    <a:ext cx="11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99"/>
                                <wps:cNvCnPr/>
                                <wps:spPr bwMode="auto">
                                  <a:xfrm>
                                    <a:off x="1135" y="1665"/>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200"/>
                                <wps:cNvSpPr>
                                  <a:spLocks noChangeArrowheads="1"/>
                                </wps:cNvSpPr>
                                <wps:spPr bwMode="auto">
                                  <a:xfrm>
                                    <a:off x="1135" y="1665"/>
                                    <a:ext cx="32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201"/>
                                <wps:cNvCnPr/>
                                <wps:spPr bwMode="auto">
                                  <a:xfrm>
                                    <a:off x="10" y="1850"/>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202"/>
                                <wps:cNvSpPr>
                                  <a:spLocks noChangeArrowheads="1"/>
                                </wps:cNvSpPr>
                                <wps:spPr bwMode="auto">
                                  <a:xfrm>
                                    <a:off x="10" y="1850"/>
                                    <a:ext cx="11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203"/>
                                <wps:cNvCnPr/>
                                <wps:spPr bwMode="auto">
                                  <a:xfrm>
                                    <a:off x="1135" y="1850"/>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204"/>
                                <wps:cNvSpPr>
                                  <a:spLocks noChangeArrowheads="1"/>
                                </wps:cNvSpPr>
                                <wps:spPr bwMode="auto">
                                  <a:xfrm>
                                    <a:off x="1135" y="1850"/>
                                    <a:ext cx="32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205"/>
                                <wps:cNvCnPr/>
                                <wps:spPr bwMode="auto">
                                  <a:xfrm>
                                    <a:off x="10" y="2035"/>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206"/>
                                <wps:cNvSpPr>
                                  <a:spLocks noChangeArrowheads="1"/>
                                </wps:cNvSpPr>
                                <wps:spPr bwMode="auto">
                                  <a:xfrm>
                                    <a:off x="10" y="2035"/>
                                    <a:ext cx="11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207"/>
                                <wps:cNvCnPr/>
                                <wps:spPr bwMode="auto">
                                  <a:xfrm>
                                    <a:off x="1135" y="2035"/>
                                    <a:ext cx="32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208"/>
                                <wps:cNvSpPr>
                                  <a:spLocks noChangeArrowheads="1"/>
                                </wps:cNvSpPr>
                                <wps:spPr bwMode="auto">
                                  <a:xfrm>
                                    <a:off x="1135" y="2035"/>
                                    <a:ext cx="32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18" name="Line 209"/>
                              <wps:cNvCnPr/>
                              <wps:spPr bwMode="auto">
                                <a:xfrm>
                                  <a:off x="6350" y="1409065"/>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210"/>
                              <wps:cNvSpPr>
                                <a:spLocks noChangeArrowheads="1"/>
                              </wps:cNvSpPr>
                              <wps:spPr bwMode="auto">
                                <a:xfrm>
                                  <a:off x="6350" y="1409065"/>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11"/>
                              <wps:cNvCnPr/>
                              <wps:spPr bwMode="auto">
                                <a:xfrm>
                                  <a:off x="720725" y="1409065"/>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212"/>
                              <wps:cNvSpPr>
                                <a:spLocks noChangeArrowheads="1"/>
                              </wps:cNvSpPr>
                              <wps:spPr bwMode="auto">
                                <a:xfrm>
                                  <a:off x="720725" y="1409065"/>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13"/>
                              <wps:cNvCnPr/>
                              <wps:spPr bwMode="auto">
                                <a:xfrm>
                                  <a:off x="6350" y="1526540"/>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214"/>
                              <wps:cNvSpPr>
                                <a:spLocks noChangeArrowheads="1"/>
                              </wps:cNvSpPr>
                              <wps:spPr bwMode="auto">
                                <a:xfrm>
                                  <a:off x="6350" y="1526540"/>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215"/>
                              <wps:cNvCnPr/>
                              <wps:spPr bwMode="auto">
                                <a:xfrm>
                                  <a:off x="720725" y="1526540"/>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216"/>
                              <wps:cNvSpPr>
                                <a:spLocks noChangeArrowheads="1"/>
                              </wps:cNvSpPr>
                              <wps:spPr bwMode="auto">
                                <a:xfrm>
                                  <a:off x="720725" y="1526540"/>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217"/>
                              <wps:cNvCnPr/>
                              <wps:spPr bwMode="auto">
                                <a:xfrm>
                                  <a:off x="6350" y="1644015"/>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218"/>
                              <wps:cNvSpPr>
                                <a:spLocks noChangeArrowheads="1"/>
                              </wps:cNvSpPr>
                              <wps:spPr bwMode="auto">
                                <a:xfrm>
                                  <a:off x="6350" y="1644015"/>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19"/>
                              <wps:cNvCnPr/>
                              <wps:spPr bwMode="auto">
                                <a:xfrm>
                                  <a:off x="720725" y="1644015"/>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220"/>
                              <wps:cNvSpPr>
                                <a:spLocks noChangeArrowheads="1"/>
                              </wps:cNvSpPr>
                              <wps:spPr bwMode="auto">
                                <a:xfrm>
                                  <a:off x="720725" y="1644015"/>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221"/>
                              <wps:cNvCnPr/>
                              <wps:spPr bwMode="auto">
                                <a:xfrm>
                                  <a:off x="6350" y="1761490"/>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222"/>
                              <wps:cNvSpPr>
                                <a:spLocks noChangeArrowheads="1"/>
                              </wps:cNvSpPr>
                              <wps:spPr bwMode="auto">
                                <a:xfrm>
                                  <a:off x="6350" y="1761490"/>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23"/>
                              <wps:cNvCnPr/>
                              <wps:spPr bwMode="auto">
                                <a:xfrm>
                                  <a:off x="720725" y="1761490"/>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224"/>
                              <wps:cNvSpPr>
                                <a:spLocks noChangeArrowheads="1"/>
                              </wps:cNvSpPr>
                              <wps:spPr bwMode="auto">
                                <a:xfrm>
                                  <a:off x="720725" y="1761490"/>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225"/>
                              <wps:cNvCnPr/>
                              <wps:spPr bwMode="auto">
                                <a:xfrm>
                                  <a:off x="6350" y="1878965"/>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226"/>
                              <wps:cNvSpPr>
                                <a:spLocks noChangeArrowheads="1"/>
                              </wps:cNvSpPr>
                              <wps:spPr bwMode="auto">
                                <a:xfrm>
                                  <a:off x="6350" y="1878965"/>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27"/>
                              <wps:cNvCnPr/>
                              <wps:spPr bwMode="auto">
                                <a:xfrm>
                                  <a:off x="720725" y="1878965"/>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228"/>
                              <wps:cNvSpPr>
                                <a:spLocks noChangeArrowheads="1"/>
                              </wps:cNvSpPr>
                              <wps:spPr bwMode="auto">
                                <a:xfrm>
                                  <a:off x="720725" y="1878965"/>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29"/>
                              <wps:cNvCnPr/>
                              <wps:spPr bwMode="auto">
                                <a:xfrm>
                                  <a:off x="6350" y="1996440"/>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230"/>
                              <wps:cNvSpPr>
                                <a:spLocks noChangeArrowheads="1"/>
                              </wps:cNvSpPr>
                              <wps:spPr bwMode="auto">
                                <a:xfrm>
                                  <a:off x="6350" y="1996440"/>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31"/>
                              <wps:cNvCnPr/>
                              <wps:spPr bwMode="auto">
                                <a:xfrm>
                                  <a:off x="720725" y="1996440"/>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32"/>
                              <wps:cNvSpPr>
                                <a:spLocks noChangeArrowheads="1"/>
                              </wps:cNvSpPr>
                              <wps:spPr bwMode="auto">
                                <a:xfrm>
                                  <a:off x="720725" y="1996440"/>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33"/>
                              <wps:cNvCnPr/>
                              <wps:spPr bwMode="auto">
                                <a:xfrm>
                                  <a:off x="6350" y="2113915"/>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234"/>
                              <wps:cNvSpPr>
                                <a:spLocks noChangeArrowheads="1"/>
                              </wps:cNvSpPr>
                              <wps:spPr bwMode="auto">
                                <a:xfrm>
                                  <a:off x="6350" y="2113915"/>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35"/>
                              <wps:cNvCnPr/>
                              <wps:spPr bwMode="auto">
                                <a:xfrm>
                                  <a:off x="720725" y="2113915"/>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236"/>
                              <wps:cNvSpPr>
                                <a:spLocks noChangeArrowheads="1"/>
                              </wps:cNvSpPr>
                              <wps:spPr bwMode="auto">
                                <a:xfrm>
                                  <a:off x="720725" y="2113915"/>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37"/>
                              <wps:cNvCnPr/>
                              <wps:spPr bwMode="auto">
                                <a:xfrm>
                                  <a:off x="6350" y="2231390"/>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238"/>
                              <wps:cNvSpPr>
                                <a:spLocks noChangeArrowheads="1"/>
                              </wps:cNvSpPr>
                              <wps:spPr bwMode="auto">
                                <a:xfrm>
                                  <a:off x="6350" y="2231390"/>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39"/>
                              <wps:cNvCnPr/>
                              <wps:spPr bwMode="auto">
                                <a:xfrm>
                                  <a:off x="720725" y="2231390"/>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240"/>
                              <wps:cNvSpPr>
                                <a:spLocks noChangeArrowheads="1"/>
                              </wps:cNvSpPr>
                              <wps:spPr bwMode="auto">
                                <a:xfrm>
                                  <a:off x="720725" y="2231390"/>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41"/>
                              <wps:cNvCnPr/>
                              <wps:spPr bwMode="auto">
                                <a:xfrm>
                                  <a:off x="6350" y="2348865"/>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Rectangle 242"/>
                              <wps:cNvSpPr>
                                <a:spLocks noChangeArrowheads="1"/>
                              </wps:cNvSpPr>
                              <wps:spPr bwMode="auto">
                                <a:xfrm>
                                  <a:off x="6350" y="2348865"/>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43"/>
                              <wps:cNvCnPr/>
                              <wps:spPr bwMode="auto">
                                <a:xfrm>
                                  <a:off x="720725" y="2348865"/>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244"/>
                              <wps:cNvSpPr>
                                <a:spLocks noChangeArrowheads="1"/>
                              </wps:cNvSpPr>
                              <wps:spPr bwMode="auto">
                                <a:xfrm>
                                  <a:off x="720725" y="2348865"/>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45"/>
                              <wps:cNvCnPr/>
                              <wps:spPr bwMode="auto">
                                <a:xfrm>
                                  <a:off x="6350" y="2466340"/>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246"/>
                              <wps:cNvSpPr>
                                <a:spLocks noChangeArrowheads="1"/>
                              </wps:cNvSpPr>
                              <wps:spPr bwMode="auto">
                                <a:xfrm>
                                  <a:off x="6350" y="2466340"/>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47"/>
                              <wps:cNvCnPr/>
                              <wps:spPr bwMode="auto">
                                <a:xfrm>
                                  <a:off x="720725" y="2466340"/>
                                  <a:ext cx="20415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248"/>
                              <wps:cNvSpPr>
                                <a:spLocks noChangeArrowheads="1"/>
                              </wps:cNvSpPr>
                              <wps:spPr bwMode="auto">
                                <a:xfrm>
                                  <a:off x="720725" y="2466340"/>
                                  <a:ext cx="20415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9"/>
                              <wps:cNvCnPr/>
                              <wps:spPr bwMode="auto">
                                <a:xfrm>
                                  <a:off x="0" y="117475"/>
                                  <a:ext cx="635" cy="24733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250"/>
                              <wps:cNvSpPr>
                                <a:spLocks noChangeArrowheads="1"/>
                              </wps:cNvSpPr>
                              <wps:spPr bwMode="auto">
                                <a:xfrm>
                                  <a:off x="0" y="117475"/>
                                  <a:ext cx="6350" cy="2473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51"/>
                              <wps:cNvCnPr/>
                              <wps:spPr bwMode="auto">
                                <a:xfrm>
                                  <a:off x="6350" y="2583815"/>
                                  <a:ext cx="708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252"/>
                              <wps:cNvSpPr>
                                <a:spLocks noChangeArrowheads="1"/>
                              </wps:cNvSpPr>
                              <wps:spPr bwMode="auto">
                                <a:xfrm>
                                  <a:off x="6350" y="2583815"/>
                                  <a:ext cx="7080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53"/>
                              <wps:cNvCnPr/>
                              <wps:spPr bwMode="auto">
                                <a:xfrm>
                                  <a:off x="714375" y="0"/>
                                  <a:ext cx="635" cy="258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254"/>
                              <wps:cNvSpPr>
                                <a:spLocks noChangeArrowheads="1"/>
                              </wps:cNvSpPr>
                              <wps:spPr bwMode="auto">
                                <a:xfrm>
                                  <a:off x="714375" y="0"/>
                                  <a:ext cx="6350" cy="2583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55"/>
                              <wps:cNvCnPr/>
                              <wps:spPr bwMode="auto">
                                <a:xfrm>
                                  <a:off x="1224915" y="6985"/>
                                  <a:ext cx="635" cy="258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256"/>
                              <wps:cNvSpPr>
                                <a:spLocks noChangeArrowheads="1"/>
                              </wps:cNvSpPr>
                              <wps:spPr bwMode="auto">
                                <a:xfrm>
                                  <a:off x="1224915" y="6985"/>
                                  <a:ext cx="6350" cy="2583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57"/>
                              <wps:cNvCnPr/>
                              <wps:spPr bwMode="auto">
                                <a:xfrm>
                                  <a:off x="1735455" y="6985"/>
                                  <a:ext cx="635" cy="258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258"/>
                              <wps:cNvSpPr>
                                <a:spLocks noChangeArrowheads="1"/>
                              </wps:cNvSpPr>
                              <wps:spPr bwMode="auto">
                                <a:xfrm>
                                  <a:off x="1735455" y="6985"/>
                                  <a:ext cx="6350" cy="2583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59"/>
                              <wps:cNvCnPr/>
                              <wps:spPr bwMode="auto">
                                <a:xfrm>
                                  <a:off x="2245360" y="6985"/>
                                  <a:ext cx="635" cy="258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260"/>
                              <wps:cNvSpPr>
                                <a:spLocks noChangeArrowheads="1"/>
                              </wps:cNvSpPr>
                              <wps:spPr bwMode="auto">
                                <a:xfrm>
                                  <a:off x="2245360" y="6985"/>
                                  <a:ext cx="6350" cy="2583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61"/>
                              <wps:cNvCnPr/>
                              <wps:spPr bwMode="auto">
                                <a:xfrm>
                                  <a:off x="714375" y="2583815"/>
                                  <a:ext cx="20478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262"/>
                              <wps:cNvSpPr>
                                <a:spLocks noChangeArrowheads="1"/>
                              </wps:cNvSpPr>
                              <wps:spPr bwMode="auto">
                                <a:xfrm>
                                  <a:off x="714375" y="2583815"/>
                                  <a:ext cx="204787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63"/>
                              <wps:cNvCnPr/>
                              <wps:spPr bwMode="auto">
                                <a:xfrm>
                                  <a:off x="2755900" y="6985"/>
                                  <a:ext cx="635" cy="258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264"/>
                              <wps:cNvSpPr>
                                <a:spLocks noChangeArrowheads="1"/>
                              </wps:cNvSpPr>
                              <wps:spPr bwMode="auto">
                                <a:xfrm>
                                  <a:off x="2755900" y="6985"/>
                                  <a:ext cx="6350" cy="2583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65"/>
                              <wps:cNvCnPr/>
                              <wps:spPr bwMode="auto">
                                <a:xfrm>
                                  <a:off x="0" y="25908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75" name="Rectangle 266"/>
                              <wps:cNvSpPr>
                                <a:spLocks noChangeArrowheads="1"/>
                              </wps:cNvSpPr>
                              <wps:spPr bwMode="auto">
                                <a:xfrm>
                                  <a:off x="0" y="259080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67"/>
                              <wps:cNvCnPr/>
                              <wps:spPr bwMode="auto">
                                <a:xfrm>
                                  <a:off x="714375" y="25908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77" name="Rectangle 268"/>
                              <wps:cNvSpPr>
                                <a:spLocks noChangeArrowheads="1"/>
                              </wps:cNvSpPr>
                              <wps:spPr bwMode="auto">
                                <a:xfrm>
                                  <a:off x="714375" y="259080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69"/>
                              <wps:cNvCnPr/>
                              <wps:spPr bwMode="auto">
                                <a:xfrm>
                                  <a:off x="1224915" y="25908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79" name="Rectangle 270"/>
                              <wps:cNvSpPr>
                                <a:spLocks noChangeArrowheads="1"/>
                              </wps:cNvSpPr>
                              <wps:spPr bwMode="auto">
                                <a:xfrm>
                                  <a:off x="1224915" y="259080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71"/>
                              <wps:cNvCnPr/>
                              <wps:spPr bwMode="auto">
                                <a:xfrm>
                                  <a:off x="1735455" y="25908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81" name="Rectangle 272"/>
                              <wps:cNvSpPr>
                                <a:spLocks noChangeArrowheads="1"/>
                              </wps:cNvSpPr>
                              <wps:spPr bwMode="auto">
                                <a:xfrm>
                                  <a:off x="1735455" y="259080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73"/>
                              <wps:cNvCnPr/>
                              <wps:spPr bwMode="auto">
                                <a:xfrm>
                                  <a:off x="2245360" y="25908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83" name="Rectangle 274"/>
                              <wps:cNvSpPr>
                                <a:spLocks noChangeArrowheads="1"/>
                              </wps:cNvSpPr>
                              <wps:spPr bwMode="auto">
                                <a:xfrm>
                                  <a:off x="2245360" y="259080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275"/>
                              <wps:cNvCnPr/>
                              <wps:spPr bwMode="auto">
                                <a:xfrm>
                                  <a:off x="2755900" y="25908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85" name="Rectangle 276"/>
                              <wps:cNvSpPr>
                                <a:spLocks noChangeArrowheads="1"/>
                              </wps:cNvSpPr>
                              <wps:spPr bwMode="auto">
                                <a:xfrm>
                                  <a:off x="2755900" y="259080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277"/>
                              <wps:cNvCnPr/>
                              <wps:spPr bwMode="auto">
                                <a:xfrm>
                                  <a:off x="2762250" y="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87" name="Rectangle 278"/>
                              <wps:cNvSpPr>
                                <a:spLocks noChangeArrowheads="1"/>
                              </wps:cNvSpPr>
                              <wps:spPr bwMode="auto">
                                <a:xfrm>
                                  <a:off x="2762250" y="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79"/>
                              <wps:cNvCnPr/>
                              <wps:spPr bwMode="auto">
                                <a:xfrm>
                                  <a:off x="2762250" y="1174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89" name="Rectangle 280"/>
                              <wps:cNvSpPr>
                                <a:spLocks noChangeArrowheads="1"/>
                              </wps:cNvSpPr>
                              <wps:spPr bwMode="auto">
                                <a:xfrm>
                                  <a:off x="2762250" y="11747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81"/>
                              <wps:cNvCnPr/>
                              <wps:spPr bwMode="auto">
                                <a:xfrm>
                                  <a:off x="2762250" y="2349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1" name="Rectangle 282"/>
                              <wps:cNvSpPr>
                                <a:spLocks noChangeArrowheads="1"/>
                              </wps:cNvSpPr>
                              <wps:spPr bwMode="auto">
                                <a:xfrm>
                                  <a:off x="2762250" y="23495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83"/>
                              <wps:cNvCnPr/>
                              <wps:spPr bwMode="auto">
                                <a:xfrm>
                                  <a:off x="2762250" y="3524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3" name="Rectangle 284"/>
                              <wps:cNvSpPr>
                                <a:spLocks noChangeArrowheads="1"/>
                              </wps:cNvSpPr>
                              <wps:spPr bwMode="auto">
                                <a:xfrm>
                                  <a:off x="2762250" y="35242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85"/>
                              <wps:cNvCnPr/>
                              <wps:spPr bwMode="auto">
                                <a:xfrm>
                                  <a:off x="2762250" y="4699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5" name="Rectangle 286"/>
                              <wps:cNvSpPr>
                                <a:spLocks noChangeArrowheads="1"/>
                              </wps:cNvSpPr>
                              <wps:spPr bwMode="auto">
                                <a:xfrm>
                                  <a:off x="2762250" y="46990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87"/>
                              <wps:cNvCnPr/>
                              <wps:spPr bwMode="auto">
                                <a:xfrm>
                                  <a:off x="2762250" y="5873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7" name="Rectangle 288"/>
                              <wps:cNvSpPr>
                                <a:spLocks noChangeArrowheads="1"/>
                              </wps:cNvSpPr>
                              <wps:spPr bwMode="auto">
                                <a:xfrm>
                                  <a:off x="2762250" y="58737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289"/>
                              <wps:cNvCnPr/>
                              <wps:spPr bwMode="auto">
                                <a:xfrm>
                                  <a:off x="2762250" y="7048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9" name="Rectangle 290"/>
                              <wps:cNvSpPr>
                                <a:spLocks noChangeArrowheads="1"/>
                              </wps:cNvSpPr>
                              <wps:spPr bwMode="auto">
                                <a:xfrm>
                                  <a:off x="2762250" y="70485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91"/>
                              <wps:cNvCnPr/>
                              <wps:spPr bwMode="auto">
                                <a:xfrm>
                                  <a:off x="2762250" y="8223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1" name="Rectangle 292"/>
                              <wps:cNvSpPr>
                                <a:spLocks noChangeArrowheads="1"/>
                              </wps:cNvSpPr>
                              <wps:spPr bwMode="auto">
                                <a:xfrm>
                                  <a:off x="2762250" y="82232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93"/>
                              <wps:cNvCnPr/>
                              <wps:spPr bwMode="auto">
                                <a:xfrm>
                                  <a:off x="2762250" y="9398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3" name="Rectangle 294"/>
                              <wps:cNvSpPr>
                                <a:spLocks noChangeArrowheads="1"/>
                              </wps:cNvSpPr>
                              <wps:spPr bwMode="auto">
                                <a:xfrm>
                                  <a:off x="2762250" y="93980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295"/>
                              <wps:cNvCnPr/>
                              <wps:spPr bwMode="auto">
                                <a:xfrm>
                                  <a:off x="2762250" y="10572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5" name="Rectangle 296"/>
                              <wps:cNvSpPr>
                                <a:spLocks noChangeArrowheads="1"/>
                              </wps:cNvSpPr>
                              <wps:spPr bwMode="auto">
                                <a:xfrm>
                                  <a:off x="2762250" y="1057275"/>
                                  <a:ext cx="635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97"/>
                              <wps:cNvCnPr/>
                              <wps:spPr bwMode="auto">
                                <a:xfrm>
                                  <a:off x="2762250" y="11747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7" name="Rectangle 298"/>
                              <wps:cNvSpPr>
                                <a:spLocks noChangeArrowheads="1"/>
                              </wps:cNvSpPr>
                              <wps:spPr bwMode="auto">
                                <a:xfrm>
                                  <a:off x="2762250" y="1174750"/>
                                  <a:ext cx="635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99"/>
                              <wps:cNvCnPr/>
                              <wps:spPr bwMode="auto">
                                <a:xfrm>
                                  <a:off x="2762250" y="12922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9" name="Rectangle 300"/>
                              <wps:cNvSpPr>
                                <a:spLocks noChangeArrowheads="1"/>
                              </wps:cNvSpPr>
                              <wps:spPr bwMode="auto">
                                <a:xfrm>
                                  <a:off x="2762250" y="1292225"/>
                                  <a:ext cx="635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301"/>
                              <wps:cNvCnPr/>
                              <wps:spPr bwMode="auto">
                                <a:xfrm>
                                  <a:off x="2762250" y="14090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1" name="Rectangle 302"/>
                              <wps:cNvSpPr>
                                <a:spLocks noChangeArrowheads="1"/>
                              </wps:cNvSpPr>
                              <wps:spPr bwMode="auto">
                                <a:xfrm>
                                  <a:off x="2762250" y="140906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303"/>
                              <wps:cNvCnPr/>
                              <wps:spPr bwMode="auto">
                                <a:xfrm>
                                  <a:off x="2762250" y="152654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3" name="Rectangle 304"/>
                              <wps:cNvSpPr>
                                <a:spLocks noChangeArrowheads="1"/>
                              </wps:cNvSpPr>
                              <wps:spPr bwMode="auto">
                                <a:xfrm>
                                  <a:off x="2762250" y="152654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305"/>
                              <wps:cNvCnPr/>
                              <wps:spPr bwMode="auto">
                                <a:xfrm>
                                  <a:off x="2762250" y="16440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5" name="Rectangle 306"/>
                              <wps:cNvSpPr>
                                <a:spLocks noChangeArrowheads="1"/>
                              </wps:cNvSpPr>
                              <wps:spPr bwMode="auto">
                                <a:xfrm>
                                  <a:off x="2762250" y="164401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307"/>
                              <wps:cNvCnPr/>
                              <wps:spPr bwMode="auto">
                                <a:xfrm>
                                  <a:off x="2762250" y="17614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7" name="Rectangle 308"/>
                              <wps:cNvSpPr>
                                <a:spLocks noChangeArrowheads="1"/>
                              </wps:cNvSpPr>
                              <wps:spPr bwMode="auto">
                                <a:xfrm>
                                  <a:off x="2762250" y="176149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309"/>
                              <wps:cNvCnPr/>
                              <wps:spPr bwMode="auto">
                                <a:xfrm>
                                  <a:off x="2762250" y="18789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9" name="Rectangle 310"/>
                              <wps:cNvSpPr>
                                <a:spLocks noChangeArrowheads="1"/>
                              </wps:cNvSpPr>
                              <wps:spPr bwMode="auto">
                                <a:xfrm>
                                  <a:off x="2762250" y="187896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311"/>
                              <wps:cNvCnPr/>
                              <wps:spPr bwMode="auto">
                                <a:xfrm>
                                  <a:off x="2762250" y="199644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1" name="Rectangle 312"/>
                              <wps:cNvSpPr>
                                <a:spLocks noChangeArrowheads="1"/>
                              </wps:cNvSpPr>
                              <wps:spPr bwMode="auto">
                                <a:xfrm>
                                  <a:off x="2762250" y="199644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313"/>
                              <wps:cNvCnPr/>
                              <wps:spPr bwMode="auto">
                                <a:xfrm>
                                  <a:off x="2762250" y="21139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3" name="Rectangle 314"/>
                              <wps:cNvSpPr>
                                <a:spLocks noChangeArrowheads="1"/>
                              </wps:cNvSpPr>
                              <wps:spPr bwMode="auto">
                                <a:xfrm>
                                  <a:off x="2762250" y="211391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315"/>
                              <wps:cNvCnPr/>
                              <wps:spPr bwMode="auto">
                                <a:xfrm>
                                  <a:off x="2762250" y="22313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5" name="Rectangle 316"/>
                              <wps:cNvSpPr>
                                <a:spLocks noChangeArrowheads="1"/>
                              </wps:cNvSpPr>
                              <wps:spPr bwMode="auto">
                                <a:xfrm>
                                  <a:off x="2762250" y="223139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317"/>
                              <wps:cNvCnPr/>
                              <wps:spPr bwMode="auto">
                                <a:xfrm>
                                  <a:off x="2762250" y="23488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7" name="Rectangle 318"/>
                              <wps:cNvSpPr>
                                <a:spLocks noChangeArrowheads="1"/>
                              </wps:cNvSpPr>
                              <wps:spPr bwMode="auto">
                                <a:xfrm>
                                  <a:off x="2762250" y="234886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319"/>
                              <wps:cNvCnPr/>
                              <wps:spPr bwMode="auto">
                                <a:xfrm>
                                  <a:off x="2762250" y="246634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9" name="Rectangle 320"/>
                              <wps:cNvSpPr>
                                <a:spLocks noChangeArrowheads="1"/>
                              </wps:cNvSpPr>
                              <wps:spPr bwMode="auto">
                                <a:xfrm>
                                  <a:off x="2762250" y="2466340"/>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321"/>
                              <wps:cNvCnPr/>
                              <wps:spPr bwMode="auto">
                                <a:xfrm>
                                  <a:off x="2762250" y="25838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31" name="Rectangle 322"/>
                              <wps:cNvSpPr>
                                <a:spLocks noChangeArrowheads="1"/>
                              </wps:cNvSpPr>
                              <wps:spPr bwMode="auto">
                                <a:xfrm>
                                  <a:off x="2762250" y="258381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xmlns="">
                  <w:pict>
                    <v:group id="Lienzo 6" o:spid="_x0000_s1026" editas="canvas" style="width:223.55pt;height:206.7pt;mso-position-horizontal-relative:char;mso-position-vertical-relative:line" coordsize="28390,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390;height:26250;visibility:visible;mso-wrap-style:square">
                        <v:fill o:detectmouseclick="t"/>
                        <v:path o:connecttype="none"/>
                      </v:shape>
                      <v:group id="Group 8" o:spid="_x0000_s1028" style="position:absolute;width:27698;height:25908" coordsize="4362,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9" o:spid="_x0000_s1029" style="position:absolute;width:435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JD8MA&#10;AADbAAAADwAAAGRycy9kb3ducmV2LnhtbERPS2sCMRC+F/ofwhS8lJpdkSpbs7ItFcSTjxZ6nG5m&#10;H3QzWZKo6783QsHbfHzPWSwH04kTOd9aVpCOExDEpdUt1wq+DquXOQgfkDV2lknBhTws88eHBWba&#10;nnlHp32oRQxhn6GCJoQ+k9KXDRn0Y9sTR66yzmCI0NVSOzzHcNPJSZK8SoMtx4YGe/poqPzbH42C&#10;9+96M6v6Ynv8mc/a4vPZpSn+KjV6Goo3EIGGcBf/u9c6zp/C7Zd4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JD8MAAADbAAAADwAAAAAAAAAAAAAAAACYAgAAZHJzL2Rv&#10;d25yZXYueG1sUEsFBgAAAAAEAAQA9QAAAIgDAAAAAA==&#10;" fillcolor="#f2dddc" stroked="f"/>
                        <v:line id="Line 10" o:spid="_x0000_s1030" style="position:absolute;visibility:visible;mso-wrap-style:square" from="1135,11" to="11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Gr8MAAADbAAAADwAAAGRycy9kb3ducmV2LnhtbERPS2sCMRC+F/wPYYTearZSRFejlEqp&#10;FQ++EHobNuPu0s1kSdLs+u8bodDbfHzPWax604hIzteWFTyPMhDEhdU1lwrOp/enKQgfkDU2lknB&#10;jTysloOHBebadnygeAylSCHsc1RQhdDmUvqiIoN+ZFvixF2tMxgSdKXUDrsUbho5zrKJNFhzaqiw&#10;pbeKiu/jj1EwjpP1Bj938etj+7Lu9i5ewu2q1OOwf52DCNSHf/Gfe6PT/Bncf0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VRq/DAAAA2wAAAA8AAAAAAAAAAAAA&#10;AAAAoQIAAGRycy9kb3ducmV2LnhtbFBLBQYAAAAABAAEAPkAAACRAwAAAAA=&#10;" strokecolor="green" strokeweight="0"/>
                        <v:rect id="Rectangle 11" o:spid="_x0000_s1031" style="position:absolute;left:1135;top:11;width:5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aucIA&#10;AADbAAAADwAAAGRycy9kb3ducmV2LnhtbERPTYvCMBC9C/6HMIIX0VRZpVSjiFjQk6zuIt6GZmy7&#10;20xKE7Xrr98cBI+P971YtaYSd2pcaVnBeBSBIM6sLjlX8HVKhzEI55E1VpZJwR85WC27nQUm2j74&#10;k+5Hn4sQwi5BBYX3dSKlywoy6Ea2Jg7c1TYGfYBNLnWDjxBuKjmJopk0WHJoKLCmTUHZ7/FmFJRx&#10;+u2n8cfhuU33P2Z7HlzOfFOq32vXcxCeWv8Wv9w7rWAS1ocv4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Bq5wgAAANsAAAAPAAAAAAAAAAAAAAAAAJgCAABkcnMvZG93&#10;bnJldi54bWxQSwUGAAAAAAQABAD1AAAAhwMAAAAA&#10;" fillcolor="green" stroked="f"/>
                        <v:line id="Line 12" o:spid="_x0000_s1032" style="position:absolute;visibility:visible;mso-wrap-style:square" from="1135,22" to="11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FMQAAADbAAAADwAAAGRycy9kb3ducmV2LnhtbESPT2sCMRTE7wW/Q3iCt5pVRMpqlKJI&#10;VXqofyj09tg8d5duXpYkza7fvikUPA4zvxlmue5NIyI5X1tWMBlnIIgLq2suFVwvu+cXED4ga2ws&#10;k4I7eVivBk9LzLXt+ETxHEqRStjnqKAKoc2l9EVFBv3YtsTJu1lnMCTpSqkddqncNHKaZXNpsOa0&#10;UGFLm4qK7/OPUTCN8+0eD+/x6+0423YfLn6G+02p0bB/XYAI1IdH+J/e68RN4O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4AUxAAAANsAAAAPAAAAAAAAAAAA&#10;AAAAAKECAABkcnMvZG93bnJldi54bWxQSwUGAAAAAAQABAD5AAAAkgMAAAAA&#10;" strokecolor="green" strokeweight="0"/>
                        <v:rect id="Rectangle 13" o:spid="_x0000_s1033" style="position:absolute;left:1135;top:22;width: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hVcYA&#10;AADbAAAADwAAAGRycy9kb3ducmV2LnhtbESPQWvCQBSE70L/w/IKXkrdNNgSYjZSigE9FbVFvD2y&#10;r0na7NuQXTX667uC4HGYmW+YbD6YVhypd41lBS+TCARxaXXDlYKvbfGcgHAeWWNrmRScycE8fxhl&#10;mGp74jUdN74SAcIuRQW1910qpStrMugmtiMO3o/tDfog+0rqHk8BbloZR9GbNNhwWKixo4+ayr/N&#10;wShokuLbvybTz8uiWP2axe5pv+ODUuPH4X0GwtPg7+Fbe6kVxDFcv4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YhVcYAAADbAAAADwAAAAAAAAAAAAAAAACYAgAAZHJz&#10;L2Rvd25yZXYueG1sUEsFBgAAAAAEAAQA9QAAAIsDAAAAAA==&#10;" fillcolor="green" stroked="f"/>
                        <v:line id="Line 14" o:spid="_x0000_s1034" style="position:absolute;visibility:visible;mso-wrap-style:square" from="1135,33" to="1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7+MQAAADbAAAADwAAAGRycy9kb3ducmV2LnhtbESPQWsCMRSE7wX/Q3hCbzWrFpGtUUQR&#10;belBbSl4e2yeu4ublyVJs+u/bwqFHoeZb4ZZrHrTiEjO15YVjEcZCOLC6ppLBZ8fu6c5CB+QNTaW&#10;ScGdPKyWg4cF5tp2fKJ4DqVIJexzVFCF0OZS+qIig35kW+LkXa0zGJJ0pdQOu1RuGjnJspk0WHNa&#10;qLClTUXF7fxtFEzibHvA1/d42b89b7uji1/hflXqcdivX0AE6sN/+I8+6MRN4f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bv4xAAAANsAAAAPAAAAAAAAAAAA&#10;AAAAAKECAABkcnMvZG93bnJldi54bWxQSwUGAAAAAAQABAD5AAAAkgMAAAAA&#10;" strokecolor="green" strokeweight="0"/>
                        <v:rect id="Rectangle 15" o:spid="_x0000_s1035" style="position:absolute;left:1135;top:33;width:3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cusUA&#10;AADbAAAADwAAAGRycy9kb3ducmV2LnhtbESPT2vCQBTE70K/w/IKvRTdVKyE6CoiBvQk/kO8PbLP&#10;JG32bciumvbTu4LgcZiZ3zDjaWsqcaXGlZYVfPUiEMSZ1SXnCva7tBuDcB5ZY2WZFPyRg+nkrTPG&#10;RNsbb+i69bkIEHYJKii8rxMpXVaQQdezNXHwzrYx6INscqkbvAW4qWQ/iobSYMlhocCa5gVlv9uL&#10;UVDG6cF/x4P1/yJd/ZjF8fN05ItSH+/tbATCU+tf4Wd7qRX0B/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xy6xQAAANsAAAAPAAAAAAAAAAAAAAAAAJgCAABkcnMv&#10;ZG93bnJldi54bWxQSwUGAAAAAAQABAD1AAAAigMAAAAA&#10;" fillcolor="green" stroked="f"/>
                        <v:line id="Line 16" o:spid="_x0000_s1036" style="position:absolute;visibility:visible;mso-wrap-style:square" from="1135,44" to="11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GF8QAAADbAAAADwAAAGRycy9kb3ducmV2LnhtbESPQWsCMRSE7wX/Q3hCbzWrWJGtUUQR&#10;belBbSl4e2yeu4ublyVJs+u/bwqFHoeZb4ZZrHrTiEjO15YVjEcZCOLC6ppLBZ8fu6c5CB+QNTaW&#10;ScGdPKyWg4cF5tp2fKJ4DqVIJexzVFCF0OZS+qIig35kW+LkXa0zGJJ0pdQOu1RuGjnJspk0WHNa&#10;qLClTUXF7fxtFEzibHvA1/d42b9Nt93Rxa9wvyr1OOzXLyAC9eE//EcfdOKe4f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IYXxAAAANsAAAAPAAAAAAAAAAAA&#10;AAAAAKECAABkcnMvZG93bnJldi54bWxQSwUGAAAAAAQABAD5AAAAkgMAAAAA&#10;" strokecolor="green" strokeweight="0"/>
                        <v:rect id="Rectangle 17" o:spid="_x0000_s1037" style="position:absolute;left:1135;top:44;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nVsUA&#10;AADbAAAADwAAAGRycy9kb3ducmV2LnhtbESPQWvCQBSE7wX/w/IEL0U3ipUQs5FSDLSnUquIt0f2&#10;mUSzb0N21dhf3y0IPQ4z8w2TrnrTiCt1rrasYDqJQBAXVtdcKth+5+MYhPPIGhvLpOBODlbZ4CnF&#10;RNsbf9F140sRIOwSVFB53yZSuqIig25iW+LgHW1n0AfZlVJ3eAtw08hZFC2kwZrDQoUtvVVUnDcX&#10;o6CO851/ieefP+v842TW++fDni9KjYb96xKEp97/hx/td61gtoC/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SdWxQAAANsAAAAPAAAAAAAAAAAAAAAAAJgCAABkcnMv&#10;ZG93bnJldi54bWxQSwUGAAAAAAQABAD1AAAAigMAAAAA&#10;" fillcolor="green" stroked="f"/>
                        <v:line id="Line 18" o:spid="_x0000_s1038" style="position:absolute;visibility:visible;mso-wrap-style:square" from="1135,54" to="1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9+8UAAADbAAAADwAAAGRycy9kb3ducmV2LnhtbESPT2sCMRTE7wW/Q3hCbzVbKSqrUUql&#10;1IoH/yH09tg8d5duXpYkza7fvhEKPQ4zvxlmsepNIyI5X1tW8DzKQBAXVtdcKjif3p9mIHxA1thY&#10;JgU38rBaDh4WmGvb8YHiMZQilbDPUUEVQptL6YuKDPqRbYmTd7XOYEjSlVI77FK5aeQ4yybSYM1p&#10;ocKW3ioqvo8/RsE4TtYb/NzFr4/ty7rbu3gJt6tSj8P+dQ4iUB/+w3/0RiduCvc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q9+8UAAADbAAAADwAAAAAAAAAA&#10;AAAAAAChAgAAZHJzL2Rvd25yZXYueG1sUEsFBgAAAAAEAAQA+QAAAJMDAAAAAA==&#10;" strokecolor="green" strokeweight="0"/>
                        <v:rect id="Rectangle 19" o:spid="_x0000_s1039" style="position:absolute;left:1135;top:54;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Wv8IA&#10;AADbAAAADwAAAGRycy9kb3ducmV2LnhtbERPTYvCMBC9C/6HMIIX0VRZpVSjiFjQk6zuIt6GZmy7&#10;20xKE7Xrr98cBI+P971YtaYSd2pcaVnBeBSBIM6sLjlX8HVKhzEI55E1VpZJwR85WC27nQUm2j74&#10;k+5Hn4sQwi5BBYX3dSKlywoy6Ea2Jg7c1TYGfYBNLnWDjxBuKjmJopk0WHJoKLCmTUHZ7/FmFJRx&#10;+u2n8cfhuU33P2Z7HlzOfFOq32vXcxCeWv8Wv9w7rWASxoYv4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ha/wgAAANsAAAAPAAAAAAAAAAAAAAAAAJgCAABkcnMvZG93&#10;bnJldi54bWxQSwUGAAAAAAQABAD1AAAAhwMAAAAA&#10;" fillcolor="green" stroked="f"/>
                        <v:line id="Line 20" o:spid="_x0000_s1040" style="position:absolute;visibility:visible;mso-wrap-style:square" from="1939,11" to="19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MEsUAAADbAAAADwAAAGRycy9kb3ducmV2LnhtbESPT2sCMRTE7wW/Q3hCbzVbKaKrUUql&#10;1IoH/yH09tg8d5duXpYkza7fvhEKPQ4zvxlmsepNIyI5X1tW8DzKQBAXVtdcKjif3p+mIHxA1thY&#10;JgU38rBaDh4WmGvb8YHiMZQilbDPUUEVQptL6YuKDPqRbYmTd7XOYEjSlVI77FK5aeQ4yybSYM1p&#10;ocKW3ioqvo8/RsE4TtYb/NzFr4/ty7rbu3gJt6tSj8P+dQ4iUB/+w3/0RiduBvc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mMEsUAAADbAAAADwAAAAAAAAAA&#10;AAAAAAChAgAAZHJzL2Rvd25yZXYueG1sUEsFBgAAAAAEAAQA+QAAAJMDAAAAAA==&#10;" strokecolor="green" strokeweight="0"/>
                        <v:rect id="Rectangle 21" o:spid="_x0000_s1041" style="position:absolute;left:1939;top:11;width:5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MZMMA&#10;AADbAAAADwAAAGRycy9kb3ducmV2LnhtbERPTWvCQBC9C/6HZQq9iG6sVUJ0E6QYaE9F2xJ6G7Jj&#10;kpqdDdlVY39991Dw+Hjfm2wwrbhQ7xrLCuazCARxaXXDlYLPj3wag3AeWWNrmRTcyEGWjkcbTLS9&#10;8p4uB1+JEMIuQQW1910ipStrMuhmtiMO3NH2Bn2AfSV1j9cQblr5FEUrabDh0FBjRy81lafD2Sho&#10;4vzLL+Pn999d/vZjdsXku+CzUo8Pw3YNwtPg7+J/96tWsAj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GMZMMAAADbAAAADwAAAAAAAAAAAAAAAACYAgAAZHJzL2Rv&#10;d25yZXYueG1sUEsFBgAAAAAEAAQA9QAAAIgDAAAAAA==&#10;" fillcolor="green" stroked="f"/>
                        <v:line id="Line 22" o:spid="_x0000_s1042" style="position:absolute;visibility:visible;mso-wrap-style:square" from="1939,22" to="19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YWycUAAADbAAAADwAAAGRycy9kb3ducmV2LnhtbESPQWsCMRSE7wX/Q3iCt5rVipTVKEWR&#10;aumhtSJ4e2yeu0s3L0sSs+u/bwqFHoeZ+YZZrnvTiEjO15YVTMYZCOLC6ppLBaev3eMzCB+QNTaW&#10;ScGdPKxXg4cl5tp2/EnxGEqRIOxzVFCF0OZS+qIig35sW+LkXa0zGJJ0pdQOuwQ3jZxm2VwarDkt&#10;VNjSpqLi+3gzCqZxvt3j4T1eXt9m2+7DxXO4X5UaDfuXBYhAffgP/7X3WsHTBH6/p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YWycUAAADbAAAADwAAAAAAAAAA&#10;AAAAAAChAgAAZHJzL2Rvd25yZXYueG1sUEsFBgAAAAAEAAQA+QAAAJMDAAAAAA==&#10;" strokecolor="green" strokeweight="0"/>
                        <v:rect id="Rectangle 23" o:spid="_x0000_s1043" style="position:absolute;left:1939;top:22;width: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iMYA&#10;AADbAAAADwAAAGRycy9kb3ducmV2LnhtbESPQWvCQBSE70L/w/IKXkQ3aishzUZEDOhJtC3S2yP7&#10;mqTNvg3ZVWN/fVco9DjMzDdMuuxNIy7UudqygukkAkFcWF1zqeDtNR/HIJxH1thYJgU3crDMHgYp&#10;Jtpe+UCXoy9FgLBLUEHlfZtI6YqKDLqJbYmD92k7gz7IrpS6w2uAm0bOomghDdYcFipsaV1R8X08&#10;GwV1nL/75/hp/7PJd19mcxp9nPis1PCxX72A8NT7//Bfe6sVzGd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3iMYAAADbAAAADwAAAAAAAAAAAAAAAACYAgAAZHJz&#10;L2Rvd25yZXYueG1sUEsFBgAAAAAEAAQA9QAAAIsDAAAAAA==&#10;" fillcolor="green" stroked="f"/>
                        <v:line id="Line 24" o:spid="_x0000_s1044" style="position:absolute;visibility:visible;mso-wrap-style:square" from="1939,33" to="19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gtJcUAAADbAAAADwAAAGRycy9kb3ducmV2LnhtbESPQWsCMRSE7wX/Q3hCb5pVi5StUYpS&#10;asWD2lLo7bF57i7dvCxJml3/vRGEHoeZ+YZZrHrTiEjO15YVTMYZCOLC6ppLBV+fb6NnED4ga2ws&#10;k4ILeVgtBw8LzLXt+EjxFEqRIOxzVFCF0OZS+qIig35sW+Lkna0zGJJ0pdQOuwQ3jZxm2VwarDkt&#10;VNjSuqLi9/RnFEzjfLPFj338ed89bbqDi9/hclbqcdi/voAI1If/8L291QpmM7h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gtJcUAAADbAAAADwAAAAAAAAAA&#10;AAAAAAChAgAAZHJzL2Rvd25yZXYueG1sUEsFBgAAAAAEAAQA+QAAAJMDAAAAAA==&#10;" strokecolor="green" strokeweight="0"/>
                        <v:rect id="Rectangle 25" o:spid="_x0000_s1045" style="position:absolute;left:1939;top:33;width:3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KZ8YA&#10;AADbAAAADwAAAGRycy9kb3ducmV2LnhtbESPT2vCQBTE74LfYXmFXkQ3rVZCmo2UYqCexD9Fentk&#10;X5PU7NuQXTX66bsFocdhZn7DpIveNOJMnastK3iaRCCIC6trLhXsd/k4BuE8ssbGMim4koNFNhyk&#10;mGh74Q2dt74UAcIuQQWV920ipSsqMugmtiUO3rftDPogu1LqDi8Bbhr5HEVzabDmsFBhS+8VFcft&#10;ySio4/zTv8Sz9W2Zr37M8jD6OvBJqceH/u0VhKfe/4fv7Q+tYDqD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qKZ8YAAADbAAAADwAAAAAAAAAAAAAAAACYAgAAZHJz&#10;L2Rvd25yZXYueG1sUEsFBgAAAAAEAAQA9QAAAIsDAAAAAA==&#10;" fillcolor="green" stroked="f"/>
                        <v:line id="Line 26" o:spid="_x0000_s1046" style="position:absolute;visibility:visible;mso-wrap-style:square" from="1939,44" to="19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QysYAAADbAAAADwAAAGRycy9kb3ducmV2LnhtbESPT2sCMRTE7wW/Q3iF3mq21kpZjVIq&#10;xT94aG0peHtsnruLm5clSbPrtzdCweMwM79hZoveNCKS87VlBU/DDARxYXXNpYKf74/HVxA+IGts&#10;LJOCM3lYzAd3M8y17fiL4j6UIkHY56igCqHNpfRFRQb90LbEyTtaZzAk6UqpHXYJbho5yrKJNFhz&#10;WqiwpfeKitP+zygYxclyjZtdPKy242X36eJvOB+Verjv36YgAvXhFv5vr7WC5xe4fkk/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tEMrGAAAA2wAAAA8AAAAAAAAA&#10;AAAAAAAAoQIAAGRycy9kb3ducmV2LnhtbFBLBQYAAAAABAAEAPkAAACUAwAAAAA=&#10;" strokecolor="green" strokeweight="0"/>
                        <v:rect id="Rectangle 27" o:spid="_x0000_s1047" style="position:absolute;left:1939;top:44;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xi8YA&#10;AADbAAAADwAAAGRycy9kb3ducmV2LnhtbESPT2vCQBTE70K/w/IKXsRsaq2EmFVKMVBPxX+It0f2&#10;NUmbfRuyq8Z++m5B6HGYmd8w2bI3jbhQ52rLCp6iGARxYXXNpYL9Lh8nIJxH1thYJgU3crBcPAwy&#10;TLW98oYuW1+KAGGXooLK+zaV0hUVGXSRbYmD92k7gz7IrpS6w2uAm0ZO4ngmDdYcFips6a2i4nt7&#10;NgrqJD/4l2T68bPK119mdRydjnxWavjYv85BeOr9f/jeftcKnmfw9yX8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xi8YAAADbAAAADwAAAAAAAAAAAAAAAACYAgAAZHJz&#10;L2Rvd25yZXYueG1sUEsFBgAAAAAEAAQA9QAAAIsDAAAAAA==&#10;" fillcolor="green" stroked="f"/>
                        <v:line id="Line 28" o:spid="_x0000_s1048" style="position:absolute;visibility:visible;mso-wrap-style:square" from="1939,54" to="19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rJsYAAADbAAAADwAAAGRycy9kb3ducmV2LnhtbESPT2sCMRTE7wW/Q3iF3mq2VmxZjVIq&#10;xT94sLYUvD02z93FzcuSpNn12xuh0OMwM79hZoveNCKS87VlBU/DDARxYXXNpYLvr4/HVxA+IGts&#10;LJOCC3lYzAd3M8y17fiT4iGUIkHY56igCqHNpfRFRQb90LbEyTtZZzAk6UqpHXYJbho5yrKJNFhz&#10;WqiwpfeKivPh1ygYxclyjZtdPK6242W3d/EnXE5KPdz3b1MQgfrwH/5rr7WC5xe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zKybGAAAA2wAAAA8AAAAAAAAA&#10;AAAAAAAAoQIAAGRycy9kb3ducmV2LnhtbFBLBQYAAAAABAAEAPkAAACUAwAAAAA=&#10;" strokecolor="green" strokeweight="0"/>
                        <v:rect id="Rectangle 29" o:spid="_x0000_s1049" style="position:absolute;left:1939;top:54;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AYsMA&#10;AADbAAAADwAAAGRycy9kb3ducmV2LnhtbERPTWvCQBC9C/6HZQq9iG6sVUJ0E6QYaE9F2xJ6G7Jj&#10;kpqdDdlVY39991Dw+Hjfm2wwrbhQ7xrLCuazCARxaXXDlYLPj3wag3AeWWNrmRTcyEGWjkcbTLS9&#10;8p4uB1+JEMIuQQW1910ipStrMuhmtiMO3NH2Bn2AfSV1j9cQblr5FEUrabDh0FBjRy81lafD2Sho&#10;4vzLL+Pn999d/vZjdsXku+CzUo8Pw3YNwtPg7+J/96tWsAhj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eAYsMAAADbAAAADwAAAAAAAAAAAAAAAACYAgAAZHJzL2Rv&#10;d25yZXYueG1sUEsFBgAAAAAEAAQA9QAAAIgDAAAAAA==&#10;" fillcolor="green" stroked="f"/>
                        <v:line id="Line 30" o:spid="_x0000_s1050" style="position:absolute;visibility:visible;mso-wrap-style:square" from="3546,11" to="35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Aaz8YAAADbAAAADwAAAGRycy9kb3ducmV2LnhtbESPT2sCMRTE7wW/Q3iF3mq2VqRdjVIq&#10;xT94sLYUvD02z93FzcuSpNn12xuh0OMwM79hZoveNCKS87VlBU/DDARxYXXNpYLvr4/HFxA+IGts&#10;LJOCC3lYzAd3M8y17fiT4iGUIkHY56igCqHNpfRFRQb90LbEyTtZZzAk6UqpHXYJbho5yrKJNFhz&#10;WqiwpfeKivPh1ygYxclyjZtdPK6242W3d/EnXE5KPdz3b1MQgfrwH/5rr7WC51e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gGs/GAAAA2wAAAA8AAAAAAAAA&#10;AAAAAAAAoQIAAGRycy9kb3ducmV2LnhtbFBLBQYAAAAABAAEAPkAAACUAwAAAAA=&#10;" strokecolor="green" strokeweight="0"/>
                        <v:rect id="Rectangle 31" o:spid="_x0000_s1051" style="position:absolute;left:3546;top:11;width:5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GcMA&#10;AADbAAAADwAAAGRycy9kb3ducmV2LnhtbERPTWvCQBC9F/wPywi9lGajRAmpq5RioJ6k2hJ6G7LT&#10;JG12NmRXE/313YPg8fG+V5vRtOJMvWssK5hFMQji0uqGKwWfx/w5BeE8ssbWMim4kIPNevKwwkzb&#10;gT/ofPCVCCHsMlRQe99lUrqyJoMush1x4H5sb9AH2FdS9ziEcNPKeRwvpcGGQ0ONHb3VVP4dTkZB&#10;k+ZffpEm++s23/2abfH0XfBJqcfp+PoCwtPo7+Kb+10rSML68CX8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f/GcMAAADbAAAADwAAAAAAAAAAAAAAAACYAgAAZHJzL2Rv&#10;d25yZXYueG1sUEsFBgAAAAAEAAQA9QAAAIgDAAAAAA==&#10;" fillcolor="green" stroked="f"/>
                        <v:line id="Line 32" o:spid="_x0000_s1052" style="position:absolute;visibility:visible;mso-wrap-style:square" from="3546,22" to="35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ltMQAAADbAAAADwAAAGRycy9kb3ducmV2LnhtbESPQWsCMRSE7wX/Q3iCt5pVRMrWKKKI&#10;tvTQqhS8PTbP3cXNy5LE7Prvm0Khx2FmvmEWq940IpLztWUFk3EGgriwuuZSwfm0e34B4QOyxsYy&#10;KXiQh9Vy8LTAXNuOvygeQykShH2OCqoQ2lxKX1Rk0I9tS5y8q3UGQ5KulNphl+CmkdMsm0uDNaeF&#10;ClvaVFTcjnejYBrn2wO+fcTL/n227T5d/A6Pq1KjYb9+BRGoD//hv/ZBK5hN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GW0xAAAANsAAAAPAAAAAAAAAAAA&#10;AAAAAKECAABkcnMvZG93bnJldi54bWxQSwUGAAAAAAQABAD5AAAAkgMAAAAA&#10;" strokecolor="green" strokeweight="0"/>
                        <v:rect id="Rectangle 33" o:spid="_x0000_s1053" style="position:absolute;left:3546;top:22;width:4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E9cUA&#10;AADbAAAADwAAAGRycy9kb3ducmV2LnhtbESPT2vCQBTE70K/w/IKvRTdVKyE6CoiBvQk/kO8PbLP&#10;JG32bciumvbTu4LgcZiZ3zDjaWsqcaXGlZYVfPUiEMSZ1SXnCva7tBuDcB5ZY2WZFPyRg+nkrTPG&#10;RNsbb+i69bkIEHYJKii8rxMpXVaQQdezNXHwzrYx6INscqkbvAW4qWQ/iobSYMlhocCa5gVlv9uL&#10;UVDG6cF/x4P1/yJd/ZjF8fN05ItSH+/tbATCU+tf4Wd7qRUM+v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cT1xQAAANsAAAAPAAAAAAAAAAAAAAAAAJgCAABkcnMv&#10;ZG93bnJldi54bWxQSwUGAAAAAAQABAD1AAAAigMAAAAA&#10;" fillcolor="green" stroked="f"/>
                        <v:line id="Line 34" o:spid="_x0000_s1054" style="position:absolute;visibility:visible;mso-wrap-style:square" from="3546,33" to="35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5eWMUAAADbAAAADwAAAGRycy9kb3ducmV2LnhtbESPT2sCMRTE7wW/Q3iF3jRbKyJboxRF&#10;tNKDf0qht8fmubt087IkaXb99qYg9DjMzG+Y+bI3jYjkfG1ZwfMoA0FcWF1zqeDzvBnOQPiArLGx&#10;TAqu5GG5GDzMMde24yPFUyhFgrDPUUEVQptL6YuKDPqRbYmTd7HOYEjSlVI77BLcNHKcZVNpsOa0&#10;UGFLq4qKn9OvUTCO0/UO3z/i93Y/WXcHF7/C9aLU02P/9goiUB/+w/f2TiuYvMDfl/Q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5eWMUAAADbAAAADwAAAAAAAAAA&#10;AAAAAAChAgAAZHJzL2Rvd25yZXYueG1sUEsFBgAAAAAEAAQA+QAAAJMDAAAAAA==&#10;" strokecolor="green" strokeweight="0"/>
                        <v:rect id="Rectangle 35" o:spid="_x0000_s1055" style="position:absolute;left:3546;top:33;width:3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5GsYA&#10;AADbAAAADwAAAGRycy9kb3ducmV2LnhtbESPQWvCQBSE74X+h+UJXkrdKKmEmI0UMaAnqbWIt0f2&#10;NUnNvg3ZVdP+erdQ6HGYmW+YbDmYVlypd41lBdNJBIK4tLrhSsHhvXhOQDiPrLG1TAq+ycEyf3zI&#10;MNX2xm903ftKBAi7FBXU3neplK6syaCb2I44eJ+2N+iD7Cupe7wFuGnlLIrm0mDDYaHGjlY1lef9&#10;xShokuLDvyTx7mddbL/M+vh0OvJFqfFoeF2A8DT4//Bfe6MVxDH8fgk/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z5GsYAAADbAAAADwAAAAAAAAAAAAAAAACYAgAAZHJz&#10;L2Rvd25yZXYueG1sUEsFBgAAAAAEAAQA9QAAAIsDAAAAAA==&#10;" fillcolor="green" stroked="f"/>
                        <v:line id="Line 36" o:spid="_x0000_s1056" style="position:absolute;visibility:visible;mso-wrap-style:square" from="3546,44" to="35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jt8UAAADbAAAADwAAAGRycy9kb3ducmV2LnhtbESPQWsCMRSE7wX/Q3hCb5pVrJStUYpS&#10;asWD2lLo7bF57i7dvCxJml3/vRGEHoeZ+YZZrHrTiEjO15YVTMYZCOLC6ppLBV+fb6NnED4ga2ws&#10;k4ILeVgtBw8LzLXt+EjxFEqRIOxzVFCF0OZS+qIig35sW+Lkna0zGJJ0pdQOuwQ3jZxm2VwarDkt&#10;VNjSuqLi9/RnFEzjfLPFj338ed/NNt3Bxe9wOSv1OOxfX0AE6sN/+N7eagWzJ7h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jt8UAAADbAAAADwAAAAAAAAAA&#10;AAAAAAChAgAAZHJzL2Rvd25yZXYueG1sUEsFBgAAAAAEAAQA+QAAAJMDAAAAAA==&#10;" strokecolor="green" strokeweight="0"/>
                        <v:rect id="Rectangle 37" o:spid="_x0000_s1057" style="position:absolute;left:3546;top:44;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C9sUA&#10;AADbAAAADwAAAGRycy9kb3ducmV2LnhtbESPQWvCQBSE7wX/w/IEL0U3LVZCmo2IGLAnqbaIt0f2&#10;NYlm34bsqqm/vlsQPA4z8w2TznvTiAt1rras4GUSgSAurK65VPC1y8cxCOeRNTaWScEvOZhng6cU&#10;E22v/EmXrS9FgLBLUEHlfZtI6YqKDLqJbYmD92M7gz7IrpS6w2uAm0a+RtFMGqw5LFTY0rKi4rQ9&#10;GwV1nH/7t3i6ua3yj6NZ7Z8Pez4rNRr2i3cQnnr/CN/ba61gOoP/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sL2xQAAANsAAAAPAAAAAAAAAAAAAAAAAJgCAABkcnMv&#10;ZG93bnJldi54bWxQSwUGAAAAAAQABAD1AAAAigMAAAAA&#10;" fillcolor="green" stroked="f"/>
                        <v:line id="Line 38" o:spid="_x0000_s1058" style="position:absolute;visibility:visible;mso-wrap-style:square" from="3546,54" to="35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YW8UAAADbAAAADwAAAGRycy9kb3ducmV2LnhtbESPQWsCMRSE7wX/Q3hCbzWriC2rUYoi&#10;WumhtSJ4e2yeu0s3L0uSZtd/3wiFHoeZ+YZZrHrTiEjO15YVjEcZCOLC6ppLBaev7dMLCB+QNTaW&#10;ScGNPKyWg4cF5tp2/EnxGEqRIOxzVFCF0OZS+qIig35kW+LkXa0zGJJ0pdQOuwQ3jZxk2UwarDkt&#10;VNjSuqLi+/hjFEzibLPHt/d42R2mm+7DxXO4XZV6HPavcxCB+vAf/mvvtYLpM9y/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YW8UAAADbAAAADwAAAAAAAAAA&#10;AAAAAAChAgAAZHJzL2Rvd25yZXYueG1sUEsFBgAAAAAEAAQA+QAAAJMDAAAAAA==&#10;" strokecolor="green" strokeweight="0"/>
                        <v:rect id="Rectangle 39" o:spid="_x0000_s1059" style="position:absolute;left:3546;top:54;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zH8MA&#10;AADbAAAADwAAAGRycy9kb3ducmV2LnhtbERPTWvCQBC9F/wPywi9lGajRAmpq5RioJ6k2hJ6G7LT&#10;JG12NmRXE/313YPg8fG+V5vRtOJMvWssK5hFMQji0uqGKwWfx/w5BeE8ssbWMim4kIPNevKwwkzb&#10;gT/ofPCVCCHsMlRQe99lUrqyJoMush1x4H5sb9AH2FdS9ziEcNPKeRwvpcGGQ0ONHb3VVP4dTkZB&#10;k+ZffpEm++s23/2abfH0XfBJqcfp+PoCwtPo7+Kb+10rSMLY8CX8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HzH8MAAADbAAAADwAAAAAAAAAAAAAAAACYAgAAZHJzL2Rv&#10;d25yZXYueG1sUEsFBgAAAAAEAAQA9QAAAIgDAAAAAA==&#10;" fillcolor="green" stroked="f"/>
                        <v:rect id="Rectangle 40" o:spid="_x0000_s1060" style="position:absolute;top:185;width:4350;height: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rect id="Rectangle 41" o:spid="_x0000_s1061" style="position:absolute;top:3884;width:113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rect id="Rectangle 42" o:spid="_x0000_s1062" style="position:absolute;left:1125;top:3884;width:322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TV8UA&#10;AADbAAAADwAAAGRycy9kb3ducmV2LnhtbESPS2vDMBCE74X8B7GBXkoiu9AmuJGDE1IoOTWPQo9b&#10;a/0g1spISuL++6hQyHGYmW+YxXIwnbiQ861lBek0AUFcWt1yreB4eJ/MQfiArLGzTAp+ycMyHz0s&#10;MNP2yju67EMtIoR9hgqaEPpMSl82ZNBPbU8cvco6gyFKV0vt8BrhppPPSfIqDbYcFxrsad1Qedqf&#10;jYLVV72dVX3xef6ez9pi8+TSFH+UehwPxRuIQEO4h//bH1rBSw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tNXxQAAANsAAAAPAAAAAAAAAAAAAAAAAJgCAABkcnMv&#10;ZG93bnJldi54bWxQSwUGAAAAAAQABAD1AAAAigMAAAAA&#10;" fillcolor="#f2dddc" stroked="f"/>
                        <v:rect id="Rectangle 43" o:spid="_x0000_s1063" style="position:absolute;left:231;top:11;width:58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b/>
                                    <w:bCs/>
                                    <w:color w:val="000000"/>
                                    <w:sz w:val="14"/>
                                    <w:szCs w:val="14"/>
                                    <w:lang w:val="en-US"/>
                                  </w:rPr>
                                  <w:t>Localidad</w:t>
                                </w:r>
                              </w:p>
                            </w:txbxContent>
                          </v:textbox>
                        </v:rect>
                        <v:rect id="Rectangle 44" o:spid="_x0000_s1064" style="position:absolute;left:1356;top:11;width:325;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b/>
                                    <w:bCs/>
                                    <w:color w:val="000000"/>
                                    <w:sz w:val="14"/>
                                    <w:szCs w:val="14"/>
                                    <w:lang w:val="en-US"/>
                                  </w:rPr>
                                  <w:t>2008</w:t>
                                </w:r>
                              </w:p>
                            </w:txbxContent>
                          </v:textbox>
                        </v:rect>
                        <v:rect id="Rectangle 45" o:spid="_x0000_s1065" style="position:absolute;left:2160;top:11;width:325;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b/>
                                    <w:bCs/>
                                    <w:color w:val="000000"/>
                                    <w:sz w:val="14"/>
                                    <w:szCs w:val="14"/>
                                    <w:lang w:val="en-US"/>
                                  </w:rPr>
                                  <w:t>2009</w:t>
                                </w:r>
                              </w:p>
                            </w:txbxContent>
                          </v:textbox>
                        </v:rect>
                        <v:rect id="Rectangle 46" o:spid="_x0000_s1066" style="position:absolute;left:2974;top:11;width:301;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b/>
                                    <w:bCs/>
                                    <w:color w:val="000000"/>
                                    <w:sz w:val="14"/>
                                    <w:szCs w:val="14"/>
                                    <w:lang w:val="en-US"/>
                                  </w:rPr>
                                  <w:t>2010</w:t>
                                </w:r>
                              </w:p>
                            </w:txbxContent>
                          </v:textbox>
                        </v:rect>
                        <v:rect id="Rectangle 47" o:spid="_x0000_s1067" style="position:absolute;left:3798;top:11;width:2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b/>
                                    <w:bCs/>
                                    <w:color w:val="000000"/>
                                    <w:sz w:val="14"/>
                                    <w:szCs w:val="14"/>
                                    <w:lang w:val="en-US"/>
                                  </w:rPr>
                                  <w:t>2011</w:t>
                                </w:r>
                              </w:p>
                            </w:txbxContent>
                          </v:textbox>
                        </v:rect>
                        <v:rect id="Rectangle 48" o:spid="_x0000_s1068" style="position:absolute;left:30;top:196;width:53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i/>
                                    <w:iCs/>
                                    <w:color w:val="000000"/>
                                    <w:sz w:val="14"/>
                                    <w:szCs w:val="14"/>
                                    <w:lang w:val="en-US"/>
                                  </w:rPr>
                                  <w:t>Usaquén</w:t>
                                </w:r>
                              </w:p>
                            </w:txbxContent>
                          </v:textbox>
                        </v:rect>
                        <v:rect id="Rectangle 49" o:spid="_x0000_s1069" style="position:absolute;left:1497;top:196;width:45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113,5%</w:t>
                                </w:r>
                              </w:p>
                            </w:txbxContent>
                          </v:textbox>
                        </v:rect>
                        <v:rect id="Rectangle 50" o:spid="_x0000_s1070" style="position:absolute;left:2291;top:196;width:45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110,3%</w:t>
                                </w:r>
                              </w:p>
                            </w:txbxContent>
                          </v:textbox>
                        </v:rect>
                        <v:rect id="Rectangle 51" o:spid="_x0000_s1071" style="position:absolute;left:3124;top:196;width:426;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DE7322" w:rsidRDefault="00DE7322" w:rsidP="00AB0F4E">
                                <w:r>
                                  <w:rPr>
                                    <w:rFonts w:ascii="Maiandra GD" w:hAnsi="Maiandra GD" w:cs="Maiandra GD"/>
                                    <w:color w:val="000000"/>
                                    <w:sz w:val="14"/>
                                    <w:szCs w:val="14"/>
                                    <w:lang w:val="en-US"/>
                                  </w:rPr>
                                  <w:t>111,3%</w:t>
                                </w:r>
                              </w:p>
                            </w:txbxContent>
                          </v:textbox>
                        </v:rect>
                        <v:rect id="Rectangle 52" o:spid="_x0000_s1072" style="position:absolute;left:3878;top:196;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109,7%</w:t>
                                </w:r>
                              </w:p>
                            </w:txbxContent>
                          </v:textbox>
                        </v:rect>
                        <v:rect id="Rectangle 53" o:spid="_x0000_s1073" style="position:absolute;left:30;top:381;width:63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i/>
                                    <w:iCs/>
                                    <w:color w:val="000000"/>
                                    <w:sz w:val="14"/>
                                    <w:szCs w:val="14"/>
                                    <w:lang w:val="en-US"/>
                                  </w:rPr>
                                  <w:t>Chapinero</w:t>
                                </w:r>
                              </w:p>
                            </w:txbxContent>
                          </v:textbox>
                        </v:rect>
                        <v:rect id="Rectangle 54" o:spid="_x0000_s1074" style="position:absolute;left:1467;top:381;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130,7%</w:t>
                                </w:r>
                              </w:p>
                            </w:txbxContent>
                          </v:textbox>
                        </v:rect>
                        <v:rect id="Rectangle 55" o:spid="_x0000_s1075" style="position:absolute;left:2281;top:381;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127,4%</w:t>
                                </w:r>
                              </w:p>
                            </w:txbxContent>
                          </v:textbox>
                        </v:rect>
                        <v:rect id="Rectangle 56" o:spid="_x0000_s1076" style="position:absolute;left:3104;top:381;width:45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121,3%</w:t>
                                </w:r>
                              </w:p>
                            </w:txbxContent>
                          </v:textbox>
                        </v:rect>
                        <v:rect id="Rectangle 57" o:spid="_x0000_s1077" style="position:absolute;left:3908;top:381;width:45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113,6%</w:t>
                                </w:r>
                              </w:p>
                            </w:txbxContent>
                          </v:textbox>
                        </v:rect>
                        <v:rect id="Rectangle 58" o:spid="_x0000_s1078" style="position:absolute;left:30;top:566;width:509;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i/>
                                    <w:iCs/>
                                    <w:color w:val="000000"/>
                                    <w:sz w:val="14"/>
                                    <w:szCs w:val="14"/>
                                    <w:lang w:val="en-US"/>
                                  </w:rPr>
                                  <w:t>Santa Fe</w:t>
                                </w:r>
                              </w:p>
                            </w:txbxContent>
                          </v:textbox>
                        </v:rect>
                        <v:rect id="Rectangle 59" o:spid="_x0000_s1079" style="position:absolute;left:1457;top:566;width:479;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DE7322" w:rsidRDefault="00DE7322" w:rsidP="00AB0F4E">
                                <w:r>
                                  <w:rPr>
                                    <w:rFonts w:ascii="Maiandra GD" w:hAnsi="Maiandra GD" w:cs="Maiandra GD"/>
                                    <w:color w:val="000000"/>
                                    <w:sz w:val="14"/>
                                    <w:szCs w:val="14"/>
                                    <w:lang w:val="en-US"/>
                                  </w:rPr>
                                  <w:t>102,0%</w:t>
                                </w:r>
                              </w:p>
                            </w:txbxContent>
                          </v:textbox>
                        </v:rect>
                        <v:rect id="Rectangle 60" o:spid="_x0000_s1080" style="position:absolute;left:2260;top:566;width:479;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100,4%</w:t>
                                </w:r>
                              </w:p>
                            </w:txbxContent>
                          </v:textbox>
                        </v:rect>
                        <v:rect id="Rectangle 61" o:spid="_x0000_s1081" style="position:absolute;left:3134;top:566;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94,9%</w:t>
                                </w:r>
                              </w:p>
                            </w:txbxContent>
                          </v:textbox>
                        </v:rect>
                        <v:rect id="Rectangle 62" o:spid="_x0000_s1082" style="position:absolute;left:3938;top:566;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88,7%</w:t>
                                </w:r>
                              </w:p>
                            </w:txbxContent>
                          </v:textbox>
                        </v:rect>
                        <v:rect id="Rectangle 63" o:spid="_x0000_s1083" style="position:absolute;left:30;top:751;width:791;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i/>
                                    <w:iCs/>
                                    <w:color w:val="000000"/>
                                    <w:sz w:val="14"/>
                                    <w:szCs w:val="14"/>
                                    <w:lang w:val="en-US"/>
                                  </w:rPr>
                                  <w:t>San Cristóbal</w:t>
                                </w:r>
                              </w:p>
                            </w:txbxContent>
                          </v:textbox>
                        </v:rect>
                        <v:rect id="Rectangle 64" o:spid="_x0000_s1084" style="position:absolute;left:1547;top:751;width:39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98,1%</w:t>
                                </w:r>
                              </w:p>
                            </w:txbxContent>
                          </v:textbox>
                        </v:rect>
                        <v:rect id="Rectangle 65" o:spid="_x0000_s1085" style="position:absolute;left:2331;top:751;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97,8%</w:t>
                                </w:r>
                              </w:p>
                            </w:txbxContent>
                          </v:textbox>
                        </v:rect>
                        <v:rect id="Rectangle 66" o:spid="_x0000_s1086" style="position:absolute;left:3134;top:751;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99,9%</w:t>
                                </w:r>
                              </w:p>
                            </w:txbxContent>
                          </v:textbox>
                        </v:rect>
                        <v:rect id="Rectangle 67" o:spid="_x0000_s1087" style="position:absolute;left:3938;top:751;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98,9%</w:t>
                                </w:r>
                              </w:p>
                            </w:txbxContent>
                          </v:textbox>
                        </v:rect>
                        <v:rect id="Rectangle 68" o:spid="_x0000_s1088" style="position:absolute;left:30;top:936;width:342;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i/>
                                    <w:iCs/>
                                    <w:color w:val="000000"/>
                                    <w:sz w:val="14"/>
                                    <w:szCs w:val="14"/>
                                    <w:lang w:val="en-US"/>
                                  </w:rPr>
                                  <w:t>Usme</w:t>
                                </w:r>
                              </w:p>
                            </w:txbxContent>
                          </v:textbox>
                        </v:rect>
                        <v:rect id="Rectangle 69" o:spid="_x0000_s1089" style="position:absolute;left:1457;top:936;width:479;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100,8%</w:t>
                                </w:r>
                              </w:p>
                            </w:txbxContent>
                          </v:textbox>
                        </v:rect>
                        <v:rect id="Rectangle 70" o:spid="_x0000_s1090" style="position:absolute;left:2351;top:936;width:39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98,1%</w:t>
                                </w:r>
                              </w:p>
                            </w:txbxContent>
                          </v:textbox>
                        </v:rect>
                        <v:rect id="Rectangle 71" o:spid="_x0000_s1091" style="position:absolute;left:3134;top:936;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96,8%</w:t>
                                </w:r>
                              </w:p>
                            </w:txbxContent>
                          </v:textbox>
                        </v:rect>
                        <v:rect id="Rectangle 72" o:spid="_x0000_s1092" style="position:absolute;left:3958;top:936;width:39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91,2%</w:t>
                                </w:r>
                              </w:p>
                            </w:txbxContent>
                          </v:textbox>
                        </v:rect>
                        <v:rect id="Rectangle 73" o:spid="_x0000_s1093" style="position:absolute;left:30;top:1121;width:62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i/>
                                    <w:iCs/>
                                    <w:color w:val="000000"/>
                                    <w:sz w:val="14"/>
                                    <w:szCs w:val="14"/>
                                    <w:lang w:val="en-US"/>
                                  </w:rPr>
                                  <w:t>Tunjuelito</w:t>
                                </w:r>
                              </w:p>
                            </w:txbxContent>
                          </v:textbox>
                        </v:rect>
                        <v:rect id="Rectangle 74" o:spid="_x0000_s1094" style="position:absolute;left:1467;top:1121;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146,0%</w:t>
                                </w:r>
                              </w:p>
                            </w:txbxContent>
                          </v:textbox>
                        </v:rect>
                        <v:rect id="Rectangle 75" o:spid="_x0000_s1095" style="position:absolute;left:2281;top:1121;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146,9%</w:t>
                                </w:r>
                              </w:p>
                            </w:txbxContent>
                          </v:textbox>
                        </v:rect>
                        <v:rect id="Rectangle 76" o:spid="_x0000_s1096" style="position:absolute;left:3084;top:1121;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149,4%</w:t>
                                </w:r>
                              </w:p>
                            </w:txbxContent>
                          </v:textbox>
                        </v:rect>
                        <v:rect id="Rectangle 77" o:spid="_x0000_s1097" style="position:absolute;left:3888;top:1121;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149,3%</w:t>
                                </w:r>
                              </w:p>
                            </w:txbxContent>
                          </v:textbox>
                        </v:rect>
                        <v:rect id="Rectangle 78" o:spid="_x0000_s1098" style="position:absolute;left:30;top:1306;width:285;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i/>
                                    <w:iCs/>
                                    <w:color w:val="000000"/>
                                    <w:sz w:val="14"/>
                                    <w:szCs w:val="14"/>
                                    <w:lang w:val="en-US"/>
                                  </w:rPr>
                                  <w:t>Bosa</w:t>
                                </w:r>
                              </w:p>
                            </w:txbxContent>
                          </v:textbox>
                        </v:rect>
                        <v:rect id="Rectangle 79" o:spid="_x0000_s1099" style="position:absolute;left:1467;top:1306;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104,4%</w:t>
                                </w:r>
                              </w:p>
                            </w:txbxContent>
                          </v:textbox>
                        </v:rect>
                        <v:rect id="Rectangle 80" o:spid="_x0000_s1100" style="position:absolute;left:2270;top:1306;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106,6%</w:t>
                                </w:r>
                              </w:p>
                            </w:txbxContent>
                          </v:textbox>
                        </v:rect>
                        <v:rect id="Rectangle 81" o:spid="_x0000_s1101" style="position:absolute;left:3074;top:1306;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108,2%</w:t>
                                </w:r>
                              </w:p>
                            </w:txbxContent>
                          </v:textbox>
                        </v:rect>
                        <v:rect id="Rectangle 82" o:spid="_x0000_s1102" style="position:absolute;left:3868;top:1306;width:479;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107,0%</w:t>
                                </w:r>
                              </w:p>
                            </w:txbxContent>
                          </v:textbox>
                        </v:rect>
                        <v:rect id="Rectangle 83" o:spid="_x0000_s1103" style="position:absolute;left:30;top:1491;width:53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i/>
                                    <w:iCs/>
                                    <w:color w:val="000000"/>
                                    <w:sz w:val="14"/>
                                    <w:szCs w:val="14"/>
                                    <w:lang w:val="en-US"/>
                                  </w:rPr>
                                  <w:t>Kennedy</w:t>
                                </w:r>
                              </w:p>
                            </w:txbxContent>
                          </v:textbox>
                        </v:rect>
                        <v:rect id="Rectangle 84" o:spid="_x0000_s1104" style="position:absolute;left:1527;top:1491;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85,2%</w:t>
                                </w:r>
                              </w:p>
                            </w:txbxContent>
                          </v:textbox>
                        </v:rect>
                        <v:rect id="Rectangle 85" o:spid="_x0000_s1105" style="position:absolute;left:2331;top:1491;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87,5%</w:t>
                                </w:r>
                              </w:p>
                            </w:txbxContent>
                          </v:textbox>
                        </v:rect>
                        <v:rect id="Rectangle 86" o:spid="_x0000_s1106" style="position:absolute;left:3134;top:1491;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color w:val="000000"/>
                                    <w:sz w:val="14"/>
                                    <w:szCs w:val="14"/>
                                    <w:lang w:val="en-US"/>
                                  </w:rPr>
                                  <w:t>88,4%</w:t>
                                </w:r>
                              </w:p>
                            </w:txbxContent>
                          </v:textbox>
                        </v:rect>
                        <v:rect id="Rectangle 87" o:spid="_x0000_s1107" style="position:absolute;left:3928;top:1491;width:421;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90,8%</w:t>
                                </w:r>
                              </w:p>
                            </w:txbxContent>
                          </v:textbox>
                        </v:rect>
                        <v:rect id="Rectangle 88" o:spid="_x0000_s1108" style="position:absolute;left:30;top:1675;width:559;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DE7322" w:rsidRDefault="00DE7322" w:rsidP="00AB0F4E">
                                <w:r>
                                  <w:rPr>
                                    <w:rFonts w:ascii="Maiandra GD" w:hAnsi="Maiandra GD" w:cs="Maiandra GD"/>
                                    <w:i/>
                                    <w:iCs/>
                                    <w:color w:val="000000"/>
                                    <w:sz w:val="14"/>
                                    <w:szCs w:val="14"/>
                                    <w:lang w:val="en-US"/>
                                  </w:rPr>
                                  <w:t>Fontibón</w:t>
                                </w:r>
                              </w:p>
                            </w:txbxContent>
                          </v:textbox>
                        </v:rect>
                        <v:rect id="Rectangle 89" o:spid="_x0000_s1109" style="position:absolute;left:1527;top:1675;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88,6%</w:t>
                                </w:r>
                              </w:p>
                            </w:txbxContent>
                          </v:textbox>
                        </v:rect>
                        <v:rect id="Rectangle 90" o:spid="_x0000_s1110" style="position:absolute;left:2331;top:1675;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DE7322" w:rsidRDefault="00DE7322" w:rsidP="00AB0F4E">
                                <w:r>
                                  <w:rPr>
                                    <w:rFonts w:ascii="Maiandra GD" w:hAnsi="Maiandra GD" w:cs="Maiandra GD"/>
                                    <w:color w:val="000000"/>
                                    <w:sz w:val="14"/>
                                    <w:szCs w:val="14"/>
                                    <w:lang w:val="en-US"/>
                                  </w:rPr>
                                  <w:t>87,6%</w:t>
                                </w:r>
                              </w:p>
                            </w:txbxContent>
                          </v:textbox>
                        </v:rect>
                        <v:rect id="Rectangle 91" o:spid="_x0000_s1111" style="position:absolute;left:3134;top:1675;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DE7322" w:rsidRDefault="00DE7322" w:rsidP="00AB0F4E">
                                <w:r>
                                  <w:rPr>
                                    <w:rFonts w:ascii="Maiandra GD" w:hAnsi="Maiandra GD" w:cs="Maiandra GD"/>
                                    <w:color w:val="000000"/>
                                    <w:sz w:val="14"/>
                                    <w:szCs w:val="14"/>
                                    <w:lang w:val="en-US"/>
                                  </w:rPr>
                                  <w:t>86,7%</w:t>
                                </w:r>
                              </w:p>
                            </w:txbxContent>
                          </v:textbox>
                        </v:rect>
                        <v:rect id="Rectangle 92" o:spid="_x0000_s1112" style="position:absolute;left:3938;top:1675;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84,8%</w:t>
                                </w:r>
                              </w:p>
                            </w:txbxContent>
                          </v:textbox>
                        </v:rect>
                        <v:rect id="Rectangle 93" o:spid="_x0000_s1113" style="position:absolute;left:30;top:1860;width:5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Engativá</w:t>
                                </w:r>
                              </w:p>
                            </w:txbxContent>
                          </v:textbox>
                        </v:rect>
                        <v:rect id="Rectangle 94" o:spid="_x0000_s1114" style="position:absolute;left:1487;top:1860;width:45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101,8%</w:t>
                                </w:r>
                              </w:p>
                            </w:txbxContent>
                          </v:textbox>
                        </v:rect>
                        <v:rect id="Rectangle 95" o:spid="_x0000_s1115" style="position:absolute;left:2270;top:1860;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103,8%</w:t>
                                </w:r>
                              </w:p>
                            </w:txbxContent>
                          </v:textbox>
                        </v:rect>
                        <v:rect id="Rectangle 96" o:spid="_x0000_s1116" style="position:absolute;left:3064;top:1860;width:479;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103,0%</w:t>
                                </w:r>
                              </w:p>
                            </w:txbxContent>
                          </v:textbox>
                        </v:rect>
                        <v:rect id="Rectangle 97" o:spid="_x0000_s1117" style="position:absolute;left:3938;top:1860;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98,8%</w:t>
                                </w:r>
                              </w:p>
                            </w:txbxContent>
                          </v:textbox>
                        </v:rect>
                        <v:rect id="Rectangle 98" o:spid="_x0000_s1118" style="position:absolute;left:30;top:2045;width:285;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Suba</w:t>
                                </w:r>
                              </w:p>
                            </w:txbxContent>
                          </v:textbox>
                        </v:rect>
                        <v:rect id="Rectangle 99" o:spid="_x0000_s1119" style="position:absolute;left:1487;top:2045;width:45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DE7322" w:rsidRDefault="00DE7322" w:rsidP="00AB0F4E">
                                <w:r>
                                  <w:rPr>
                                    <w:rFonts w:ascii="Maiandra GD" w:hAnsi="Maiandra GD" w:cs="Maiandra GD"/>
                                    <w:color w:val="000000"/>
                                    <w:sz w:val="14"/>
                                    <w:szCs w:val="14"/>
                                    <w:lang w:val="en-US"/>
                                  </w:rPr>
                                  <w:t>105,1%</w:t>
                                </w:r>
                              </w:p>
                            </w:txbxContent>
                          </v:textbox>
                        </v:rect>
                        <v:rect id="Rectangle 100" o:spid="_x0000_s1120" style="position:absolute;left:2270;top:2045;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105,2%</w:t>
                                </w:r>
                              </w:p>
                            </w:txbxContent>
                          </v:textbox>
                        </v:rect>
                        <v:rect id="Rectangle 101" o:spid="_x0000_s1121" style="position:absolute;left:3074;top:2045;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DE7322" w:rsidRDefault="00DE7322" w:rsidP="00AB0F4E">
                                <w:r>
                                  <w:rPr>
                                    <w:rFonts w:ascii="Maiandra GD" w:hAnsi="Maiandra GD" w:cs="Maiandra GD"/>
                                    <w:color w:val="000000"/>
                                    <w:sz w:val="14"/>
                                    <w:szCs w:val="14"/>
                                    <w:lang w:val="en-US"/>
                                  </w:rPr>
                                  <w:t>106,2%</w:t>
                                </w:r>
                              </w:p>
                            </w:txbxContent>
                          </v:textbox>
                        </v:rect>
                        <v:rect id="Rectangle 102" o:spid="_x0000_s1122" style="position:absolute;left:3898;top:2045;width:45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101,7%</w:t>
                                </w:r>
                              </w:p>
                            </w:txbxContent>
                          </v:textbox>
                        </v:rect>
                        <v:rect id="Rectangle 103" o:spid="_x0000_s1123" style="position:absolute;left:30;top:2230;width:89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i/>
                                    <w:iCs/>
                                    <w:color w:val="000000"/>
                                    <w:sz w:val="14"/>
                                    <w:szCs w:val="14"/>
                                    <w:lang w:val="en-US"/>
                                  </w:rPr>
                                  <w:t>Barrios Unidos</w:t>
                                </w:r>
                              </w:p>
                            </w:txbxContent>
                          </v:textbox>
                        </v:rect>
                        <v:rect id="Rectangle 104" o:spid="_x0000_s1124" style="position:absolute;left:1517;top:2230;width:421;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90,3%</w:t>
                                </w:r>
                              </w:p>
                            </w:txbxContent>
                          </v:textbox>
                        </v:rect>
                        <v:rect id="Rectangle 105" o:spid="_x0000_s1125" style="position:absolute;left:2331;top:2230;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86,8%</w:t>
                                </w:r>
                              </w:p>
                            </w:txbxContent>
                          </v:textbox>
                        </v:rect>
                        <v:rect id="Rectangle 106" o:spid="_x0000_s1126" style="position:absolute;left:3134;top:2230;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87,5%</w:t>
                                </w:r>
                              </w:p>
                            </w:txbxContent>
                          </v:textbox>
                        </v:rect>
                        <v:rect id="Rectangle 107" o:spid="_x0000_s1127" style="position:absolute;left:3938;top:2230;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82,8%</w:t>
                                </w:r>
                              </w:p>
                            </w:txbxContent>
                          </v:textbox>
                        </v:rect>
                        <v:rect id="Rectangle 108" o:spid="_x0000_s1128" style="position:absolute;left:30;top:2415;width:695;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Teusaquillo</w:t>
                                </w:r>
                              </w:p>
                            </w:txbxContent>
                          </v:textbox>
                        </v:rect>
                        <v:rect id="Rectangle 109" o:spid="_x0000_s1129" style="position:absolute;left:1497;top:2415;width:45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DE7322" w:rsidRDefault="00DE7322" w:rsidP="00AB0F4E">
                                <w:r>
                                  <w:rPr>
                                    <w:rFonts w:ascii="Maiandra GD" w:hAnsi="Maiandra GD" w:cs="Maiandra GD"/>
                                    <w:color w:val="000000"/>
                                    <w:sz w:val="14"/>
                                    <w:szCs w:val="14"/>
                                    <w:lang w:val="en-US"/>
                                  </w:rPr>
                                  <w:t>119,8%</w:t>
                                </w:r>
                              </w:p>
                            </w:txbxContent>
                          </v:textbox>
                        </v:rect>
                        <v:rect id="Rectangle 110" o:spid="_x0000_s1130" style="position:absolute;left:2281;top:2415;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124,3%</w:t>
                                </w:r>
                              </w:p>
                            </w:txbxContent>
                          </v:textbox>
                        </v:rect>
                        <v:rect id="Rectangle 111" o:spid="_x0000_s1131" style="position:absolute;left:3084;top:2415;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DE7322" w:rsidRDefault="00DE7322" w:rsidP="00AB0F4E">
                                <w:r>
                                  <w:rPr>
                                    <w:rFonts w:ascii="Maiandra GD" w:hAnsi="Maiandra GD" w:cs="Maiandra GD"/>
                                    <w:color w:val="000000"/>
                                    <w:sz w:val="14"/>
                                    <w:szCs w:val="14"/>
                                    <w:lang w:val="en-US"/>
                                  </w:rPr>
                                  <w:t>126,2%</w:t>
                                </w:r>
                              </w:p>
                            </w:txbxContent>
                          </v:textbox>
                        </v:rect>
                        <v:rect id="Rectangle 112" o:spid="_x0000_s1132" style="position:absolute;left:3888;top:2415;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133,6%</w:t>
                                </w:r>
                              </w:p>
                            </w:txbxContent>
                          </v:textbox>
                        </v:rect>
                        <v:rect id="Rectangle 113" o:spid="_x0000_s1133" style="position:absolute;left:30;top:2600;width:741;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Los Mártires</w:t>
                                </w:r>
                              </w:p>
                            </w:txbxContent>
                          </v:textbox>
                        </v:rect>
                        <v:rect id="Rectangle 114" o:spid="_x0000_s1134" style="position:absolute;left:1477;top:2600;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144,4%</w:t>
                                </w:r>
                              </w:p>
                            </w:txbxContent>
                          </v:textbox>
                        </v:rect>
                        <v:rect id="Rectangle 115" o:spid="_x0000_s1135" style="position:absolute;left:2281;top:2600;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144,5%</w:t>
                                </w:r>
                              </w:p>
                            </w:txbxContent>
                          </v:textbox>
                        </v:rect>
                        <v:rect id="Rectangle 116" o:spid="_x0000_s1136" style="position:absolute;left:3084;top:2600;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146,7%</w:t>
                                </w:r>
                              </w:p>
                            </w:txbxContent>
                          </v:textbox>
                        </v:rect>
                        <v:rect id="Rectangle 117" o:spid="_x0000_s1137" style="position:absolute;left:3888;top:2600;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145,3%</w:t>
                                </w:r>
                              </w:p>
                            </w:txbxContent>
                          </v:textbox>
                        </v:rect>
                        <v:rect id="Rectangle 118" o:spid="_x0000_s1138" style="position:absolute;left:30;top:2785;width:972;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Antonio Nariño</w:t>
                                </w:r>
                              </w:p>
                            </w:txbxContent>
                          </v:textbox>
                        </v:rect>
                        <v:rect id="Rectangle 119" o:spid="_x0000_s1139" style="position:absolute;left:1497;top:2785;width:45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DE7322" w:rsidRDefault="00DE7322" w:rsidP="00AB0F4E">
                                <w:r>
                                  <w:rPr>
                                    <w:rFonts w:ascii="Maiandra GD" w:hAnsi="Maiandra GD" w:cs="Maiandra GD"/>
                                    <w:color w:val="000000"/>
                                    <w:sz w:val="14"/>
                                    <w:szCs w:val="14"/>
                                    <w:lang w:val="en-US"/>
                                  </w:rPr>
                                  <w:t>121,4%</w:t>
                                </w:r>
                              </w:p>
                            </w:txbxContent>
                          </v:textbox>
                        </v:rect>
                        <v:rect id="Rectangle 120" o:spid="_x0000_s1140" style="position:absolute;left:2281;top:2785;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126,2%</w:t>
                                </w:r>
                              </w:p>
                            </w:txbxContent>
                          </v:textbox>
                        </v:rect>
                        <v:rect id="Rectangle 121" o:spid="_x0000_s1141" style="position:absolute;left:3084;top:2785;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DE7322" w:rsidRDefault="00DE7322" w:rsidP="00AB0F4E">
                                <w:r>
                                  <w:rPr>
                                    <w:rFonts w:ascii="Maiandra GD" w:hAnsi="Maiandra GD" w:cs="Maiandra GD"/>
                                    <w:color w:val="000000"/>
                                    <w:sz w:val="14"/>
                                    <w:szCs w:val="14"/>
                                    <w:lang w:val="en-US"/>
                                  </w:rPr>
                                  <w:t>123,4%</w:t>
                                </w:r>
                              </w:p>
                            </w:txbxContent>
                          </v:textbox>
                        </v:rect>
                        <v:rect id="Rectangle 122" o:spid="_x0000_s1142" style="position:absolute;left:3888;top:2785;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125,5%</w:t>
                                </w:r>
                              </w:p>
                            </w:txbxContent>
                          </v:textbox>
                        </v:rect>
                        <v:rect id="Rectangle 123" o:spid="_x0000_s1143" style="position:absolute;left:30;top:2970;width:90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Puente Aranda</w:t>
                                </w:r>
                              </w:p>
                            </w:txbxContent>
                          </v:textbox>
                        </v:rect>
                        <v:rect id="Rectangle 124" o:spid="_x0000_s1144" style="position:absolute;left:1497;top:2970;width:45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112,4%</w:t>
                                </w:r>
                              </w:p>
                            </w:txbxContent>
                          </v:textbox>
                        </v:rect>
                        <v:rect id="Rectangle 125" o:spid="_x0000_s1145" style="position:absolute;left:2321;top:2970;width:426;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111,3%</w:t>
                                </w:r>
                              </w:p>
                            </w:txbxContent>
                          </v:textbox>
                        </v:rect>
                        <v:rect id="Rectangle 126" o:spid="_x0000_s1146" style="position:absolute;left:3104;top:2970;width:45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112,4%</w:t>
                                </w:r>
                              </w:p>
                            </w:txbxContent>
                          </v:textbox>
                        </v:rect>
                        <v:rect id="Rectangle 127" o:spid="_x0000_s1147" style="position:absolute;left:3898;top:2970;width:45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114,0%</w:t>
                                </w:r>
                              </w:p>
                            </w:txbxContent>
                          </v:textbox>
                        </v:rect>
                        <v:rect id="Rectangle 128" o:spid="_x0000_s1148" style="position:absolute;left:30;top:3155;width:82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La Candelaria</w:t>
                                </w:r>
                              </w:p>
                            </w:txbxContent>
                          </v:textbox>
                        </v:rect>
                        <v:rect id="Rectangle 129" o:spid="_x0000_s1149" style="position:absolute;left:1477;top:3155;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DE7322" w:rsidRDefault="00DE7322" w:rsidP="00AB0F4E">
                                <w:r>
                                  <w:rPr>
                                    <w:rFonts w:ascii="Maiandra GD" w:hAnsi="Maiandra GD" w:cs="Maiandra GD"/>
                                    <w:color w:val="000000"/>
                                    <w:sz w:val="14"/>
                                    <w:szCs w:val="14"/>
                                    <w:lang w:val="en-US"/>
                                  </w:rPr>
                                  <w:t>316,9%</w:t>
                                </w:r>
                              </w:p>
                            </w:txbxContent>
                          </v:textbox>
                        </v:rect>
                        <v:rect id="Rectangle 130" o:spid="_x0000_s1150" style="position:absolute;left:2260;top:3155;width:49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298,8%</w:t>
                                </w:r>
                              </w:p>
                            </w:txbxContent>
                          </v:textbox>
                        </v:rect>
                        <v:rect id="Rectangle 131" o:spid="_x0000_s1151" style="position:absolute;left:3054;top:3155;width:501;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DE7322" w:rsidRDefault="00DE7322" w:rsidP="00AB0F4E">
                                <w:r>
                                  <w:rPr>
                                    <w:rFonts w:ascii="Maiandra GD" w:hAnsi="Maiandra GD" w:cs="Maiandra GD"/>
                                    <w:color w:val="000000"/>
                                    <w:sz w:val="14"/>
                                    <w:szCs w:val="14"/>
                                    <w:lang w:val="en-US"/>
                                  </w:rPr>
                                  <w:t>275,0%</w:t>
                                </w:r>
                              </w:p>
                            </w:txbxContent>
                          </v:textbox>
                        </v:rect>
                        <v:rect id="Rectangle 132" o:spid="_x0000_s1152" style="position:absolute;left:3888;top:3155;width:47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281,9%</w:t>
                                </w:r>
                              </w:p>
                            </w:txbxContent>
                          </v:textbox>
                        </v:rect>
                        <v:rect id="Rectangle 133" o:spid="_x0000_s1153" style="position:absolute;left:30;top:3340;width:1136;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Rafael Uribe Uribe</w:t>
                                </w:r>
                              </w:p>
                            </w:txbxContent>
                          </v:textbox>
                        </v:rect>
                        <v:rect id="Rectangle 134" o:spid="_x0000_s1154" style="position:absolute;left:1487;top:3340;width:45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121,0%</w:t>
                                </w:r>
                              </w:p>
                            </w:txbxContent>
                          </v:textbox>
                        </v:rect>
                        <v:rect id="Rectangle 135" o:spid="_x0000_s1155" style="position:absolute;left:2260;top:3340;width:479;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120,0%</w:t>
                                </w:r>
                              </w:p>
                            </w:txbxContent>
                          </v:textbox>
                        </v:rect>
                        <v:rect id="Rectangle 136" o:spid="_x0000_s1156" style="position:absolute;left:3104;top:3340;width:45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122,1%</w:t>
                                </w:r>
                              </w:p>
                            </w:txbxContent>
                          </v:textbox>
                        </v:rect>
                        <v:rect id="Rectangle 137" o:spid="_x0000_s1157" style="position:absolute;left:3908;top:3340;width:45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118,6%</w:t>
                                </w:r>
                              </w:p>
                            </w:txbxContent>
                          </v:textbox>
                        </v:rect>
                        <v:rect id="Rectangle 138" o:spid="_x0000_s1158" style="position:absolute;left:30;top:3525;width:911;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Ciudad Bolívar</w:t>
                                </w:r>
                              </w:p>
                            </w:txbxContent>
                          </v:textbox>
                        </v:rect>
                        <v:rect id="Rectangle 139" o:spid="_x0000_s1159" style="position:absolute;left:1527;top:3525;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DE7322" w:rsidRDefault="00DE7322" w:rsidP="00AB0F4E">
                                <w:r>
                                  <w:rPr>
                                    <w:rFonts w:ascii="Maiandra GD" w:hAnsi="Maiandra GD" w:cs="Maiandra GD"/>
                                    <w:color w:val="000000"/>
                                    <w:sz w:val="14"/>
                                    <w:szCs w:val="14"/>
                                    <w:lang w:val="en-US"/>
                                  </w:rPr>
                                  <w:t>86,2%</w:t>
                                </w:r>
                              </w:p>
                            </w:txbxContent>
                          </v:textbox>
                        </v:rect>
                        <v:rect id="Rectangle 140" o:spid="_x0000_s1160" style="position:absolute;left:2331;top:3525;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87,2%</w:t>
                                </w:r>
                              </w:p>
                            </w:txbxContent>
                          </v:textbox>
                        </v:rect>
                        <v:rect id="Rectangle 141" o:spid="_x0000_s1161" style="position:absolute;left:3134;top:3525;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DE7322" w:rsidRDefault="00DE7322" w:rsidP="00AB0F4E">
                                <w:r>
                                  <w:rPr>
                                    <w:rFonts w:ascii="Maiandra GD" w:hAnsi="Maiandra GD" w:cs="Maiandra GD"/>
                                    <w:color w:val="000000"/>
                                    <w:sz w:val="14"/>
                                    <w:szCs w:val="14"/>
                                    <w:lang w:val="en-US"/>
                                  </w:rPr>
                                  <w:t>86,4%</w:t>
                                </w:r>
                              </w:p>
                            </w:txbxContent>
                          </v:textbox>
                        </v:rect>
                        <v:rect id="Rectangle 142" o:spid="_x0000_s1162" style="position:absolute;left:3938;top:3525;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83,5%</w:t>
                                </w:r>
                              </w:p>
                            </w:txbxContent>
                          </v:textbox>
                        </v:rect>
                        <v:rect id="Rectangle 143" o:spid="_x0000_s1163" style="position:absolute;left:30;top:3710;width:540;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i/>
                                    <w:iCs/>
                                    <w:color w:val="000000"/>
                                    <w:sz w:val="14"/>
                                    <w:szCs w:val="14"/>
                                    <w:lang w:val="en-US"/>
                                  </w:rPr>
                                  <w:t>Sumapaz</w:t>
                                </w:r>
                              </w:p>
                            </w:txbxContent>
                          </v:textbox>
                        </v:rect>
                        <v:rect id="Rectangle 144" o:spid="_x0000_s1164" style="position:absolute;left:1527;top:3710;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75,4%</w:t>
                                </w:r>
                              </w:p>
                            </w:txbxContent>
                          </v:textbox>
                        </v:rect>
                        <v:rect id="Rectangle 145" o:spid="_x0000_s1165" style="position:absolute;left:2351;top:3710;width:394;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color w:val="000000"/>
                                    <w:sz w:val="14"/>
                                    <w:szCs w:val="14"/>
                                    <w:lang w:val="en-US"/>
                                  </w:rPr>
                                  <w:t>71,3%</w:t>
                                </w:r>
                              </w:p>
                            </w:txbxContent>
                          </v:textbox>
                        </v:rect>
                        <v:rect id="Rectangle 146" o:spid="_x0000_s1166" style="position:absolute;left:3134;top:3710;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74,5%</w:t>
                                </w:r>
                              </w:p>
                            </w:txbxContent>
                          </v:textbox>
                        </v:rect>
                        <v:rect id="Rectangle 147" o:spid="_x0000_s1167" style="position:absolute;left:3938;top:3710;width:418;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color w:val="000000"/>
                                    <w:sz w:val="14"/>
                                    <w:szCs w:val="14"/>
                                    <w:lang w:val="en-US"/>
                                  </w:rPr>
                                  <w:t>72,8%</w:t>
                                </w:r>
                              </w:p>
                            </w:txbxContent>
                          </v:textbox>
                        </v:rect>
                        <v:rect id="Rectangle 148" o:spid="_x0000_s1168" style="position:absolute;left:40;top:3895;width:321;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b/>
                                    <w:bCs/>
                                    <w:color w:val="000000"/>
                                    <w:sz w:val="14"/>
                                    <w:szCs w:val="14"/>
                                    <w:lang w:val="en-US"/>
                                  </w:rPr>
                                  <w:t>Total</w:t>
                                </w:r>
                              </w:p>
                            </w:txbxContent>
                          </v:textbox>
                        </v:rect>
                        <v:rect id="Rectangle 149" o:spid="_x0000_s1169" style="position:absolute;left:1396;top:3895;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DE7322" w:rsidRDefault="00DE7322" w:rsidP="00AB0F4E">
                                <w:r>
                                  <w:rPr>
                                    <w:rFonts w:ascii="Maiandra GD" w:hAnsi="Maiandra GD" w:cs="Maiandra GD"/>
                                    <w:b/>
                                    <w:bCs/>
                                    <w:color w:val="000000"/>
                                    <w:sz w:val="14"/>
                                    <w:szCs w:val="14"/>
                                    <w:lang w:val="en-US"/>
                                  </w:rPr>
                                  <w:t>102,6%</w:t>
                                </w:r>
                              </w:p>
                            </w:txbxContent>
                          </v:textbox>
                        </v:rect>
                        <v:rect id="Rectangle 150" o:spid="_x0000_s1170" style="position:absolute;left:2200;top:3895;width:47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DE7322" w:rsidRDefault="00DE7322" w:rsidP="00AB0F4E">
                                <w:r>
                                  <w:rPr>
                                    <w:rFonts w:ascii="Maiandra GD" w:hAnsi="Maiandra GD" w:cs="Maiandra GD"/>
                                    <w:b/>
                                    <w:bCs/>
                                    <w:color w:val="000000"/>
                                    <w:sz w:val="14"/>
                                    <w:szCs w:val="14"/>
                                    <w:lang w:val="en-US"/>
                                  </w:rPr>
                                  <w:t>102,8%</w:t>
                                </w:r>
                              </w:p>
                            </w:txbxContent>
                          </v:textbox>
                        </v:rect>
                        <v:rect id="Rectangle 151" o:spid="_x0000_s1171" style="position:absolute;left:3024;top:3895;width:453;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DE7322" w:rsidRDefault="00DE7322" w:rsidP="00AB0F4E">
                                <w:r>
                                  <w:rPr>
                                    <w:rFonts w:ascii="Maiandra GD" w:hAnsi="Maiandra GD" w:cs="Maiandra GD"/>
                                    <w:b/>
                                    <w:bCs/>
                                    <w:color w:val="000000"/>
                                    <w:sz w:val="14"/>
                                    <w:szCs w:val="14"/>
                                    <w:lang w:val="en-US"/>
                                  </w:rPr>
                                  <w:t>103,1%</w:t>
                                </w:r>
                              </w:p>
                            </w:txbxContent>
                          </v:textbox>
                        </v:rect>
                        <v:rect id="Rectangle 152" o:spid="_x0000_s1172" style="position:absolute;left:3818;top:3895;width:456;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DE7322" w:rsidRDefault="00DE7322" w:rsidP="00AB0F4E">
                                <w:r>
                                  <w:rPr>
                                    <w:rFonts w:ascii="Maiandra GD" w:hAnsi="Maiandra GD" w:cs="Maiandra GD"/>
                                    <w:b/>
                                    <w:bCs/>
                                    <w:color w:val="000000"/>
                                    <w:sz w:val="14"/>
                                    <w:szCs w:val="14"/>
                                    <w:lang w:val="en-US"/>
                                  </w:rPr>
                                  <w:t>101,0%</w:t>
                                </w:r>
                              </w:p>
                            </w:txbxContent>
                          </v:textbox>
                        </v:rect>
                        <v:rect id="Rectangle 153" o:spid="_x0000_s1173" style="position:absolute;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g7sIA&#10;AADcAAAADwAAAGRycy9kb3ducmV2LnhtbERPS4vCMBC+L/gfwgheZE19laUaRUTB04oPdj0OzdgW&#10;m0lpYq3/fiMIe5uP7znzZWtK0VDtCssKhoMIBHFqdcGZgvNp+/kFwnlkjaVlUvAkB8tF52OOibYP&#10;PlBz9JkIIewSVJB7XyVSujQng25gK+LAXW1t0AdYZ1LX+AjhppSjKIqlwYJDQ44VrXNKb8e7UdDf&#10;35t2Q+sJ/z6nP+N+dvmOh1apXrddzUB4av2/+O3e6TA/HsHrmXC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qDuwgAAANwAAAAPAAAAAAAAAAAAAAAAAJgCAABkcnMvZG93&#10;bnJldi54bWxQSwUGAAAAAAQABAD1AAAAhwMAAAAA&#10;" fillcolor="#d0d7e5" stroked="f"/>
                        <v:line id="Line 154" o:spid="_x0000_s1174" style="position:absolute;visibility:visible;mso-wrap-style:square" from="10,0" to="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ivRcQAAADcAAAADwAAAGRycy9kb3ducmV2LnhtbERPTWvCQBC9C/6HZQq91U1biW10FWkN&#10;FMVD0nrwNmTHJJidDdltjP++KxS8zeN9zmI1mEb01LnasoLnSQSCuLC65lLBz3f69AbCeWSNjWVS&#10;cCUHq+V4tMBE2wtn1Oe+FCGEXYIKKu/bREpXVGTQTWxLHLiT7Qz6ALtS6g4vIdw08iWKYmmw5tBQ&#10;YUsfFRXn/NcoSId4ejiuZ/30vfzM8l2632wjr9Tjw7Ceg/A0+Lv43/2lw/z4FW7Ph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K9FxAAAANwAAAAPAAAAAAAAAAAA&#10;AAAAAKECAABkcnMvZG93bnJldi54bWxQSwUGAAAAAAQABAD5AAAAkgMAAAAA&#10;" strokecolor="#ffc000" strokeweight="0"/>
                        <v:rect id="Rectangle 155" o:spid="_x0000_s1175" style="position:absolute;left:10;width:11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wjcQA&#10;AADcAAAADwAAAGRycy9kb3ducmV2LnhtbERPTWvCQBC9F/oflil4azaGIiV1lVJUehCl0UOO0+w0&#10;Cc3Oxt1Vo7/eLRS8zeN9znQ+mE6cyPnWsoJxkoIgrqxuuVaw3y2fX0H4gKyxs0wKLuRhPnt8mGKu&#10;7Zm/6FSEWsQQ9jkqaELocyl91ZBBn9ieOHI/1hkMEbpaaofnGG46maXpRBpsOTY02NNHQ9VvcTQK&#10;snVWruxi1V6/Sx4f7GabFv1WqdHT8P4GItAQ7uJ/96eO8ycv8Pd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3MI3EAAAA3AAAAA8AAAAAAAAAAAAAAAAAmAIAAGRycy9k&#10;b3ducmV2LnhtbFBLBQYAAAAABAAEAPUAAACJAwAAAAA=&#10;" fillcolor="#ffc000" stroked="f"/>
                        <v:rect id="Rectangle 156" o:spid="_x0000_s1176" style="position:absolute;left:1125;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4msIA&#10;AADcAAAADwAAAGRycy9kb3ducmV2LnhtbERPS4vCMBC+C/6HMIIXWVNfZalGEVHw5LIqux6HZmyL&#10;zaQ0sdZ/b4SFvc3H95zFqjWlaKh2hWUFo2EEgji1uuBMwfm0+/gE4TyyxtIyKXiSg9Wy21lgou2D&#10;v6k5+kyEEHYJKsi9rxIpXZqTQTe0FXHgrrY26AOsM6lrfIRwU8pxFMXSYMGhIceKNjmlt+PdKBh8&#10;3Zt2S5sp/z5nP5NBdjnEI6tUv9eu5yA8tf5f/Ofe6zA/nsH7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ziawgAAANwAAAAPAAAAAAAAAAAAAAAAAJgCAABkcnMvZG93&#10;bnJldi54bWxQSwUGAAAAAAQABAD1AAAAhwMAAAAA&#10;" fillcolor="#d0d7e5" stroked="f"/>
                        <v:rect id="Rectangle 157" o:spid="_x0000_s1177" style="position:absolute;left:1929;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m7cMA&#10;AADcAAAADwAAAGRycy9kb3ducmV2LnhtbERPTWvCQBC9F/wPywi9SLOxrUGiq0hooaeKsbQeh+yY&#10;BLOzIbuJ8d93hUJv83ifs96OphEDda62rGAexSCIC6trLhV8Hd+fliCcR9bYWCYFN3Kw3Uwe1phq&#10;e+UDDbkvRQhhl6KCyvs2ldIVFRl0kW2JA3e2nUEfYFdK3eE1hJtGPsdxIg3WHBoqbCmrqLjkvVEw&#10;2/fD+EbZK//cFt8vs/L0mcytUo/TcbcC4Wn0/+I/94cO85ME7s+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Gm7cMAAADcAAAADwAAAAAAAAAAAAAAAACYAgAAZHJzL2Rv&#10;d25yZXYueG1sUEsFBgAAAAAEAAQA9QAAAIgDAAAAAA==&#10;" fillcolor="#d0d7e5" stroked="f"/>
                        <v:rect id="Rectangle 158" o:spid="_x0000_s1178" style="position:absolute;left:2733;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DdsMA&#10;AADcAAAADwAAAGRycy9kb3ducmV2LnhtbERPTWvCQBC9F/wPywheRDfWGiW6ShGFnixVUY9DdkyC&#10;2dmQXWP8912h0Ns83ucsVq0pRUO1KywrGA0jEMSp1QVnCo6H7WAGwnlkjaVlUvAkB6tl522BibYP&#10;/qFm7zMRQtglqCD3vkqkdGlOBt3QVsSBu9raoA+wzqSu8RHCTSnfoyiWBgsODTlWtM4pve3vRkH/&#10;+960G1p/8Pk5OY372WUXj6xSvW77OQfhqfX/4j/3lw7z4ym8ng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0DdsMAAADcAAAADwAAAAAAAAAAAAAAAACYAgAAZHJzL2Rv&#10;d25yZXYueG1sUEsFBgAAAAAEAAQA9QAAAIgDAAAAAA==&#10;" fillcolor="#d0d7e5" stroked="f"/>
                        <v:rect id="Rectangle 159" o:spid="_x0000_s1179" style="position:absolute;left:3536;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XBMYA&#10;AADcAAAADwAAAGRycy9kb3ducmV2LnhtbESPT2vCQBDF74V+h2UKXkQ32hpKdJUiFTxZ/IP1OGSn&#10;SWh2NmTXGL995yD0NsN7895vFqve1aqjNlSeDUzGCSji3NuKCwOn42b0DipEZIu1ZzJwpwCr5fPT&#10;AjPrb7yn7hALJSEcMjRQxthkWoe8JIdh7Bti0X586zDK2hbatniTcFfraZKk2mHF0lBiQ+uS8t/D&#10;1RkYfl27/pPWb/x9n51fh8Vll068MYOX/mMOKlIf/82P660V/FR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XBMYAAADcAAAADwAAAAAAAAAAAAAAAACYAgAAZHJz&#10;L2Rvd25yZXYueG1sUEsFBgAAAAAEAAQA9QAAAIsDAAAAAA==&#10;" fillcolor="#d0d7e5" stroked="f"/>
                        <v:line id="Line 160" o:spid="_x0000_s1180" style="position:absolute;visibility:visible;mso-wrap-style:square" from="1135,0" to="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rect id="Rectangle 161" o:spid="_x0000_s1181" style="position:absolute;left:1135;width:32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rect id="Rectangle 162" o:spid="_x0000_s1182" style="position:absolute;left:4340;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oRMMA&#10;AADcAAAADwAAAGRycy9kb3ducmV2LnhtbERPTWvCQBC9F/wPywi9SN3EVivRVURa8KQYS/U4ZMck&#10;mJ0N2TXGf+8Khd7m8T5nvuxMJVpqXGlZQTyMQBBnVpecK/g5fL9NQTiPrLGyTAru5GC56L3MMdH2&#10;xntqU5+LEMIuQQWF93UipcsKMuiGtiYO3Nk2Bn2ATS51g7cQbio5iqKJNFhyaCiwpnVB2SW9GgWD&#10;3bXtvmj9wcf7+Pd9kJ+2k9gq9drvVjMQnjr/L/5zb3SY/xnD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GoRMMAAADcAAAADwAAAAAAAAAAAAAAAACYAgAAZHJzL2Rv&#10;d25yZXYueG1sUEsFBgAAAAAEAAQA9QAAAIgDAAAAAA==&#10;" fillcolor="#d0d7e5" stroked="f"/>
                        <v:line id="Line 163" o:spid="_x0000_s1183" style="position:absolute;visibility:visible;mso-wrap-style:square" from="0,0"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cA8QAAADcAAAADwAAAGRycy9kb3ducmV2LnhtbERPTWvCQBC9F/wPywi91Y0i2qZugtgG&#10;itJDUj30NmTHJJidDdltTP+9KxR6m8f7nE06mlYM1LvGsoL5LAJBXFrdcKXg+JU9PYNwHllja5kU&#10;/JKDNJk8bDDW9so5DYWvRAhhF6OC2vsultKVNRl0M9sRB+5se4M+wL6SusdrCDetXETRShpsODTU&#10;2NGupvJS/BgF2bhanr6362H5Ur3lxSH7fN9HXqnH6bh9BeFp9P/iP/eHDvPXC7g/Ey6Q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PZwDxAAAANwAAAAPAAAAAAAAAAAA&#10;AAAAAKECAABkcnMvZG93bnJldi54bWxQSwUGAAAAAAQABAD5AAAAkgMAAAAA&#10;" strokecolor="#ffc000" strokeweight="0"/>
                        <v:rect id="Rectangle 164" o:spid="_x0000_s1184" style="position:absolute;width:1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JMMA&#10;AADcAAAADwAAAGRycy9kb3ducmV2LnhtbERPTWvCQBC9C/6HZQRvujFCK6mriKh4EMXoweM0O01C&#10;s7Mxu2rqr+8WCt7m8T5nOm9NJe7UuNKygtEwAkGcWV1yruB8Wg8mIJxH1lhZJgU/5GA+63ammGj7&#10;4CPdU5+LEMIuQQWF93UipcsKMuiGtiYO3JdtDPoAm1zqBh8h3FQyjqI3abDk0FBgTcuCsu/0ZhTE&#10;u/iysatN+fy88Ohq94corQ9K9Xvt4gOEp9a/xP/urQ7z38fw90y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c+JMMAAADcAAAADwAAAAAAAAAAAAAAAACYAgAAZHJzL2Rv&#10;d25yZXYueG1sUEsFBgAAAAAEAAQA9QAAAIgDAAAAAA==&#10;" fillcolor="#ffc000" stroked="f"/>
                        <v:line id="Line 165" o:spid="_x0000_s1185" style="position:absolute;visibility:visible;mso-wrap-style:square" from="10,185" to="112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rect id="Rectangle 166" o:spid="_x0000_s1186" style="position:absolute;left:10;top:185;width:11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line id="Line 167" o:spid="_x0000_s1187" style="position:absolute;visibility:visible;mso-wrap-style:square" from="1135,185" to="435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rect id="Rectangle 168" o:spid="_x0000_s1188" style="position:absolute;left:1135;top:185;width:32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line id="Line 169" o:spid="_x0000_s1189" style="position:absolute;visibility:visible;mso-wrap-style:square" from="10,370" to="112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rect id="Rectangle 170" o:spid="_x0000_s1190" style="position:absolute;left:10;top:370;width:11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line id="Line 171" o:spid="_x0000_s1191" style="position:absolute;visibility:visible;mso-wrap-style:square" from="1135,370" to="43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2sUAAADcAAAADwAAAGRycy9kb3ducmV2LnhtbESPQWvCQBCF74L/YRmhN91YqI3RVURa&#10;bG9tquBxyI7JYnY2ZLea/vvOodDbDO/Ne9+st4Nv1Y366AIbmM8yUMRVsI5rA8ev12kOKiZki21g&#10;MvBDEbab8WiNhQ13/qRbmWolIRwLNNCk1BVax6ohj3EWOmLRLqH3mGTta217vEu4b/Vjli20R8fS&#10;0GBH+4aqa/ntDbiPxeHp/fm0POmXQ5qf82vu/NGYh8mwW4FKNKR/89/1m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92sUAAADcAAAADwAAAAAAAAAA&#10;AAAAAAChAgAAZHJzL2Rvd25yZXYueG1sUEsFBgAAAAAEAAQA+QAAAJMDAAAAAA==&#10;" strokeweight="0"/>
                        <v:rect id="Rectangle 172" o:spid="_x0000_s1192" style="position:absolute;left:1135;top:370;width:32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line id="Line 173" o:spid="_x0000_s1193" style="position:absolute;visibility:visible;mso-wrap-style:square" from="10,555" to="112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rect id="Rectangle 174" o:spid="_x0000_s1194" style="position:absolute;left:10;top:555;width:11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line id="Line 175" o:spid="_x0000_s1195" style="position:absolute;visibility:visible;mso-wrap-style:square" from="1135,555" to="435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rect id="Rectangle 176" o:spid="_x0000_s1196" style="position:absolute;left:1135;top:555;width:32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line id="Line 177" o:spid="_x0000_s1197" style="position:absolute;visibility:visible;mso-wrap-style:square" from="10,740" to="11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rect id="Rectangle 178" o:spid="_x0000_s1198" style="position:absolute;left:10;top:740;width:11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line id="Line 179" o:spid="_x0000_s1199" style="position:absolute;visibility:visible;mso-wrap-style:square" from="1135,740" to="435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x3MUAAADcAAAADwAAAGRycy9kb3ducmV2LnhtbESPQWvCQBCF74L/YRmhN91YqI3RVURa&#10;bG9tquBxyI7JYnY2ZLea/vvOodDbDO/Ne9+st4Nv1Y366AIbmM8yUMRVsI5rA8ev12kOKiZki21g&#10;MvBDEbab8WiNhQ13/qRbmWolIRwLNNCk1BVax6ohj3EWOmLRLqH3mGTta217vEu4b/Vjli20R8fS&#10;0GBH+4aqa/ntDbiPxeHp/fm0POmXQ5qf82vu/NGYh8mwW4FKNKR/89/1mxX8X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x3MUAAADcAAAADwAAAAAAAAAA&#10;AAAAAAChAgAAZHJzL2Rvd25yZXYueG1sUEsFBgAAAAAEAAQA+QAAAJMDAAAAAA==&#10;" strokeweight="0"/>
                        <v:rect id="Rectangle 180" o:spid="_x0000_s1200" style="position:absolute;left:1135;top:740;width:32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line id="Line 181" o:spid="_x0000_s1201" style="position:absolute;visibility:visible;mso-wrap-style:square" from="10,925" to="112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rB8UAAADcAAAADwAAAGRycy9kb3ducmV2LnhtbESPQWvCQBCF74X+h2UK3urGghqjq5TS&#10;or2pVehxyI7JYnY2ZLca/33nIHib4b1575vFqveNulAXXWADo2EGirgM1nFl4PDz9ZqDignZYhOY&#10;DNwowmr5/LTAwoYr7+iyT5WSEI4FGqhTagutY1mTxzgMLbFop9B5TLJ2lbYdXiXcN/otyybao2Np&#10;qLGlj5rK8/7PG3DbyXr8PT3OjvpznUa/+Tl3/mDM4KV/n4NK1KeH+X69sY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zrB8UAAADcAAAADwAAAAAAAAAA&#10;AAAAAAChAgAAZHJzL2Rvd25yZXYueG1sUEsFBgAAAAAEAAQA+QAAAJMDAAAAAA==&#10;" strokeweight="0"/>
                        <v:rect id="Rectangle 182" o:spid="_x0000_s1202" style="position:absolute;left:10;top:925;width:11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line id="Line 183" o:spid="_x0000_s1203" style="position:absolute;visibility:visible;mso-wrap-style:square" from="1135,925" to="435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Q68MAAADcAAAADwAAAGRycy9kb3ducmV2LnhtbERPTWvCQBC9F/wPyxR6qxuF2iR1FREl&#10;7a1GhR6H7DRZzM6G7GrSf98tFLzN433Ocj3aVtyo98axgtk0AUFcOW24VnA67p9TED4ga2wdk4If&#10;8rBeTR6WmGs38IFuZahFDGGfo4ImhC6X0lcNWfRT1xFH7tv1FkOEfS11j0MMt62cJ8lCWjQcGxrs&#10;aNtQdSmvVoH5XBQvH6/n7Cx3RZh9pZfU2JNST4/j5g1EoDHcxf/udx3nZ3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0OvDAAAA3AAAAA8AAAAAAAAAAAAA&#10;AAAAoQIAAGRycy9kb3ducmV2LnhtbFBLBQYAAAAABAAEAPkAAACRAwAAAAA=&#10;" strokeweight="0"/>
                        <v:rect id="Rectangle 184" o:spid="_x0000_s1204" style="position:absolute;left:1135;top:925;width:32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line id="Line 185" o:spid="_x0000_s1205" style="position:absolute;visibility:visible;mso-wrap-style:square" from="10,1110" to="1125,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rect id="Rectangle 186" o:spid="_x0000_s1206" style="position:absolute;left:10;top:1110;width:11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line id="Line 187" o:spid="_x0000_s1207" style="position:absolute;visibility:visible;mso-wrap-style:square" from="1135,1110" to="4350,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rect id="Rectangle 188" o:spid="_x0000_s1208" style="position:absolute;left:1135;top:1110;width:32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line id="Line 189" o:spid="_x0000_s1209" style="position:absolute;visibility:visible;mso-wrap-style:square" from="10,1295" to="1125,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rect id="Rectangle 190" o:spid="_x0000_s1210" style="position:absolute;left:10;top:1295;width:11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line id="Line 191" o:spid="_x0000_s1211" style="position:absolute;visibility:visible;mso-wrap-style:square" from="1135,1295" to="435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f/MQAAADcAAAADwAAAGRycy9kb3ducmV2LnhtbESPQWvCQBSE7wX/w/KE3pqNhaYxuopI&#10;S9pbjQoeH9lnsph9G7JbTf99t1DwOMzMN8xyPdpOXGnwxrGCWZKCIK6dNtwoOOzfn3IQPiBr7ByT&#10;gh/ysF5NHpZYaHfjHV2r0IgIYV+ggjaEvpDS1y1Z9InriaN3doPFEOXQSD3gLcJtJ5/TNJMWDceF&#10;FnvatlRfqm+rwHxl5cvn63F+lG9lmJ3yS27sQanH6bhZgAg0hnv4v/2hFUQi/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x/8xAAAANwAAAAPAAAAAAAAAAAA&#10;AAAAAKECAABkcnMvZG93bnJldi54bWxQSwUGAAAAAAQABAD5AAAAkgMAAAAA&#10;" strokeweight="0"/>
                        <v:rect id="Rectangle 192" o:spid="_x0000_s1212" style="position:absolute;left:1135;top:1295;width:32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line id="Line 193" o:spid="_x0000_s1213" style="position:absolute;visibility:visible;mso-wrap-style:square" from="10,1480" to="1125,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kEMUAAADcAAAADwAAAGRycy9kb3ducmV2LnhtbESPQWvCQBSE70L/w/IEb7oxoE2jGyml&#10;RXtrUwWPj+wzWZJ9G7Jbjf++Wyj0OMzMN8x2N9pOXGnwxrGC5SIBQVw5bbhWcPx6m2cgfEDW2Dkm&#10;BXfysCseJlvMtbvxJ13LUIsIYZ+jgiaEPpfSVw1Z9AvXE0fv4gaLIcqhlnrAW4TbTqZJspYWDceF&#10;Bnt6aahqy2+rwHys96v3x9PTSb7uw/KctZmxR6Vm0/F5AyLQGP7Df+2DVpAmK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0kEMUAAADcAAAADwAAAAAAAAAA&#10;AAAAAAChAgAAZHJzL2Rvd25yZXYueG1sUEsFBgAAAAAEAAQA+QAAAJMDAAAAAA==&#10;" strokeweight="0"/>
                        <v:rect id="Rectangle 194" o:spid="_x0000_s1214" style="position:absolute;left:10;top:1480;width:11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line id="Line 195" o:spid="_x0000_s1215" style="position:absolute;visibility:visible;mso-wrap-style:square" from="1135,1480" to="4350,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8UAAADcAAAADwAAAGRycy9kb3ducmV2LnhtbESPQWvCQBSE74X+h+UJvdWNU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Z/8UAAADcAAAADwAAAAAAAAAA&#10;AAAAAAChAgAAZHJzL2Rvd25yZXYueG1sUEsFBgAAAAAEAAQA+QAAAJMDAAAAAA==&#10;" strokeweight="0"/>
                        <v:rect id="Rectangle 196" o:spid="_x0000_s1216" style="position:absolute;left:1135;top:1480;width:32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line id="Line 197" o:spid="_x0000_s1217" style="position:absolute;visibility:visible;mso-wrap-style:square" from="10,1665" to="1125,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rect id="Rectangle 198" o:spid="_x0000_s1218" style="position:absolute;left:10;top:1665;width:11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line id="Line 199" o:spid="_x0000_s1219" style="position:absolute;visibility:visible;mso-wrap-style:square" from="1135,1665" to="4350,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T+sIAAADcAAAADwAAAGRycy9kb3ducmV2LnhtbERPz2vCMBS+D/wfwhN2W1OFuVqNImOj&#10;8za1gsdH82yDzUtpMtv99+Yw2PHj+73ejrYVd+q9caxglqQgiCunDdcKytPnSwbCB2SNrWNS8Ese&#10;tpvJ0xpz7QY+0P0YahFD2OeooAmhy6X0VUMWfeI64shdXW8xRNjXUvc4xHDbynmaLqRFw7GhwY7e&#10;G6puxx+rwHwvitf923l5lh9FmF2yW2ZsqdTzdNytQAQaw7/4z/2lFczTuDaei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UT+sIAAADcAAAADwAAAAAAAAAAAAAA&#10;AAChAgAAZHJzL2Rvd25yZXYueG1sUEsFBgAAAAAEAAQA+QAAAJADAAAAAA==&#10;" strokeweight="0"/>
                        <v:rect id="Rectangle 200" o:spid="_x0000_s1220" style="position:absolute;left:1135;top:1665;width:32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201" o:spid="_x0000_s1221" style="position:absolute;visibility:visible;mso-wrap-style:square" from="10,1850" to="1125,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JIcIAAADcAAAADwAAAAAAAAAAAAAA&#10;AAChAgAAZHJzL2Rvd25yZXYueG1sUEsFBgAAAAAEAAQA+QAAAJADAAAAAA==&#10;" strokeweight="0"/>
                        <v:rect id="Rectangle 202" o:spid="_x0000_s1222" style="position:absolute;left:10;top:1850;width:11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line id="Line 203" o:spid="_x0000_s1223" style="position:absolute;visibility:visible;mso-wrap-style:square" from="1135,1850" to="435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cQAAADcAAAADwAAAGRycy9kb3ducmV2LnhtbESPQWvCQBSE7wX/w/IK3uomAW0aXUXE&#10;Yr1Vq+DxkX1NFrNvQ3ar6b93BcHjMDPfMLNFbxtxoc4bxwrSUQKCuHTacKXg8PP5loPwAVlj45gU&#10;/JOHxXzwMsNCuyvv6LIPlYgQ9gUqqENoCyl9WZNFP3ItcfR+XWcxRNlVUnd4jXDbyCxJJtKi4bhQ&#10;Y0urmsrz/s8qMN+TzXj7fvw4yvUmpKf8nBt7UGr42i+nIAL14Rl+tL+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NxAAAANwAAAAPAAAAAAAAAAAA&#10;AAAAAKECAABkcnMvZG93bnJldi54bWxQSwUGAAAAAAQABAD5AAAAkgMAAAAA&#10;" strokeweight="0"/>
                        <v:rect id="Rectangle 204" o:spid="_x0000_s1224" style="position:absolute;left:1135;top:1850;width:32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line id="Line 205" o:spid="_x0000_s1225" style="position:absolute;visibility:visible;mso-wrap-style:square" from="10,2035" to="1125,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rect id="Rectangle 206" o:spid="_x0000_s1226" style="position:absolute;left:10;top:2035;width:11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line id="Line 207" o:spid="_x0000_s1227" style="position:absolute;visibility:visible;mso-wrap-style:square" from="1135,2035" to="4350,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rect id="Rectangle 208" o:spid="_x0000_s1228" style="position:absolute;left:1135;top:2035;width:32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group>
                      <v:line id="Line 209" o:spid="_x0000_s1229" style="position:absolute;visibility:visible;mso-wrap-style:square" from="63,14090" to="714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FJ8IAAADcAAAADwAAAGRycy9kb3ducmV2LnhtbERPz2vCMBS+C/sfwhN207SFaVeNMsZG&#10;t5s6BY+P5tkGm5fSZG333y+HwY4f3+/tfrKtGKj3xrGCdJmAIK6cNlwrOH+9L3IQPiBrbB2Tgh/y&#10;sN89zLZYaDfykYZTqEUMYV+ggiaErpDSVw1Z9EvXEUfu5nqLIcK+lrrHMYbbVmZJspIWDceGBjt6&#10;bai6n76tAnNYlU+f68vzRb6VIb3m99zYs1KP8+llAyLQFP7Ff+4PrSBL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FJ8IAAADcAAAADwAAAAAAAAAAAAAA&#10;AAChAgAAZHJzL2Rvd25yZXYueG1sUEsFBgAAAAAEAAQA+QAAAJADAAAAAA==&#10;" strokeweight="0"/>
                      <v:rect id="Rectangle 210" o:spid="_x0000_s1230" style="position:absolute;left:63;top:14090;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line id="Line 211" o:spid="_x0000_s1231" style="position:absolute;visibility:visible;mso-wrap-style:square" from="7207,14090" to="27622,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rect id="Rectangle 212" o:spid="_x0000_s1232" style="position:absolute;left:7207;top:14090;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line id="Line 213" o:spid="_x0000_s1233" style="position:absolute;visibility:visible;mso-wrap-style:square" from="63,15265" to="7143,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4cMQAAADcAAAADwAAAGRycy9kb3ducmV2LnhtbESPQWvCQBSE70L/w/KE3nRjoJpGVyml&#10;xXrTVMHjI/tMFrNvQ3ar6b93BcHjMDPfMItVbxtxoc4bxwom4wQEcem04UrB/vd7lIHwAVlj45gU&#10;/JOH1fJlsMBcuyvv6FKESkQI+xwV1CG0uZS+rMmiH7uWOHon11kMUXaV1B1eI9w2Mk2SqbRoOC7U&#10;2NJnTeW5+LMKzHa6ftvMDu8H+bUOk2N2zozdK/U67D/mIAL14Rl+tH+0gj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HhwxAAAANwAAAAPAAAAAAAAAAAA&#10;AAAAAKECAABkcnMvZG93bnJldi54bWxQSwUGAAAAAAQABAD5AAAAkgMAAAAA&#10;" strokeweight="0"/>
                      <v:rect id="Rectangle 214" o:spid="_x0000_s1234" style="position:absolute;left:63;top:15265;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line id="Line 215" o:spid="_x0000_s1235" style="position:absolute;visibility:visible;mso-wrap-style:square" from="7207,15265" to="27622,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1Fn8QAAADcAAAADwAAAGRycy9kb3ducmV2LnhtbESPQWvCQBSE74L/YXmF3nRjaG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WfxAAAANwAAAAPAAAAAAAAAAAA&#10;AAAAAKECAABkcnMvZG93bnJldi54bWxQSwUGAAAAAAQABAD5AAAAkgMAAAAA&#10;" strokeweight="0"/>
                      <v:rect id="Rectangle 216" o:spid="_x0000_s1236" style="position:absolute;left:7207;top:15265;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v:line id="Line 217" o:spid="_x0000_s1237" style="position:absolute;visibility:visible;mso-wrap-style:square" from="63,16440" to="7143,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c8QAAADcAAAADwAAAGRycy9kb3ducmV2LnhtbESPQWvCQBSE7wX/w/IK3urGgGkaXUXE&#10;Yr1Vq+DxkX1NFrNvQ3ar6b93BcHjMDPfMLNFbxtxoc4bxwrGowQEcem04UrB4efzLQfhA7LGxjEp&#10;+CcPi/ngZYaFdlfe0WUfKhEh7AtUUIfQFlL6siaLfuRa4uj9us5iiLKrpO7wGuG2kWmSZNKi4bhQ&#10;Y0urmsrz/s8qMN/ZZrJ9P34c5XoTxqf8nBt7UGr42i+nIAL14Rl+tL+0gjT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35zxAAAANwAAAAPAAAAAAAAAAAA&#10;AAAAAKECAABkcnMvZG93bnJldi54bWxQSwUGAAAAAAQABAD5AAAAkgMAAAAA&#10;" strokeweight="0"/>
                      <v:rect id="Rectangle 218" o:spid="_x0000_s1238" style="position:absolute;left:63;top:16440;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line id="Line 219" o:spid="_x0000_s1239" style="position:absolute;visibility:visible;mso-wrap-style:square" from="7207,16440" to="27622,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PmsEAAADcAAAADwAAAGRycy9kb3ducmV2LnhtbERPTYvCMBC9C/sfwgjeNLWgdqtRFnHR&#10;vamr4HFoxjbYTEqT1frvNwfB4+N9L1adrcWdWm8cKxiPEhDEhdOGSwWn3+9hBsIHZI21Y1LwJA+r&#10;5Udvgbl2Dz7Q/RhKEUPY56igCqHJpfRFRRb9yDXEkbu61mKIsC2lbvERw20t0ySZSouGY0OFDa0r&#10;Km7HP6vA7Kfbyc/s/HmWm20YX7JbZuxJqUG/+5qDCNSFt/jl3mkFaRr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E+awQAAANwAAAAPAAAAAAAAAAAAAAAA&#10;AKECAABkcnMvZG93bnJldi54bWxQSwUGAAAAAAQABAD5AAAAjwMAAAAA&#10;" strokeweight="0"/>
                      <v:rect id="Rectangle 220" o:spid="_x0000_s1240" style="position:absolute;left:7207;top:16440;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line id="Line 221" o:spid="_x0000_s1241" style="position:absolute;visibility:visible;mso-wrap-style:square" from="63,17614" to="7143,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VQcIAAADcAAAADwAAAGRycy9kb3ducmV2LnhtbERPz2vCMBS+D/wfwhN2m2mV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VQcIAAADcAAAADwAAAAAAAAAAAAAA&#10;AAChAgAAZHJzL2Rvd25yZXYueG1sUEsFBgAAAAAEAAQA+QAAAJADAAAAAA==&#10;" strokeweight="0"/>
                      <v:rect id="Rectangle 222" o:spid="_x0000_s1242" style="position:absolute;left:63;top:17614;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line id="Line 223" o:spid="_x0000_s1243" style="position:absolute;visibility:visible;mso-wrap-style:square" from="7207,17614" to="2762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urcQAAADcAAAADwAAAGRycy9kb3ducmV2LnhtbESPQWvCQBSE74L/YXmF3nRjSm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e6txAAAANwAAAAPAAAAAAAAAAAA&#10;AAAAAKECAABkcnMvZG93bnJldi54bWxQSwUGAAAAAAQABAD5AAAAkgMAAAAA&#10;" strokeweight="0"/>
                      <v:rect id="Rectangle 224" o:spid="_x0000_s1244" style="position:absolute;left:7207;top:17614;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line id="Line 225" o:spid="_x0000_s1245" style="position:absolute;visibility:visible;mso-wrap-style:square" from="63,18789" to="7143,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TQsUAAADcAAAADwAAAGRycy9kb3ducmV2LnhtbESPQWvCQBSE70L/w/IK3nQTrTZNs0op&#10;Fu2ttQo9PrKvyWL2bciuGv+9Kwg9DjPzDVMse9uIE3XeOFaQjhMQxKXThisFu5+PUQbCB2SNjWNS&#10;cCEPy8XDoMBcuzN/02kbKhEh7HNUUIfQ5lL6siaLfuxa4uj9uc5iiLKrpO7wHOG2kZMkmUuLhuNC&#10;jS2911QetkerwHzN17PP5/3LXq7WIf3NDpmxO6WGj/3bK4hAffgP39sbrWAyf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TQsUAAADcAAAADwAAAAAAAAAA&#10;AAAAAAChAgAAZHJzL2Rvd25yZXYueG1sUEsFBgAAAAAEAAQA+QAAAJMDAAAAAA==&#10;" strokeweight="0"/>
                      <v:rect id="Rectangle 226" o:spid="_x0000_s1246" style="position:absolute;left:63;top:18789;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line id="Line 227" o:spid="_x0000_s1247" style="position:absolute;visibility:visible;mso-wrap-style:square" from="7207,18789" to="27622,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orsQAAADcAAAADwAAAGRycy9kb3ducmV2LnhtbESPQWvCQBSE7wX/w/IKvelGi2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uiuxAAAANwAAAAPAAAAAAAAAAAA&#10;AAAAAKECAABkcnMvZG93bnJldi54bWxQSwUGAAAAAAQABAD5AAAAkgMAAAAA&#10;" strokeweight="0"/>
                      <v:rect id="Rectangle 228" o:spid="_x0000_s1248" style="position:absolute;left:7207;top:18789;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v:line id="Line 229" o:spid="_x0000_s1249" style="position:absolute;visibility:visible;mso-wrap-style:square" from="63,19964" to="7143,1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ZR8IAAADcAAAADwAAAGRycy9kb3ducmV2LnhtbERPz2vCMBS+D/wfwhN2m2mV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nZR8IAAADcAAAADwAAAAAAAAAAAAAA&#10;AAChAgAAZHJzL2Rvd25yZXYueG1sUEsFBgAAAAAEAAQA+QAAAJADAAAAAA==&#10;" strokeweight="0"/>
                      <v:rect id="Rectangle 230" o:spid="_x0000_s1250" style="position:absolute;left:63;top:19964;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v:line id="Line 231" o:spid="_x0000_s1251" style="position:absolute;visibility:visible;mso-wrap-style:square" from="7207,19964" to="27622,1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mPMIAAADcAAAADwAAAGRycy9kb3ducmV2LnhtbERPz2vCMBS+D/wfwhN2m2nF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mmPMIAAADcAAAADwAAAAAAAAAAAAAA&#10;AAChAgAAZHJzL2Rvd25yZXYueG1sUEsFBgAAAAAEAAQA+QAAAJADAAAAAA==&#10;" strokeweight="0"/>
                      <v:rect id="Rectangle 232" o:spid="_x0000_s1252" style="position:absolute;left:7207;top:19964;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line id="Line 233" o:spid="_x0000_s1253" style="position:absolute;visibility:visible;mso-wrap-style:square" from="63,21139" to="7143,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d0MQAAADcAAAADwAAAGRycy9kb3ducmV2LnhtbESPQWvCQBSE74L/YXmF3nRjaG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53QxAAAANwAAAAPAAAAAAAAAAAA&#10;AAAAAKECAABkcnMvZG93bnJldi54bWxQSwUGAAAAAAQABAD5AAAAkgMAAAAA&#10;" strokeweight="0"/>
                      <v:rect id="Rectangle 234" o:spid="_x0000_s1254" style="position:absolute;left:63;top:21139;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line id="Line 235" o:spid="_x0000_s1255" style="position:absolute;visibility:visible;mso-wrap-style:square" from="7207,21139" to="27622,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gP8UAAADcAAAADwAAAGRycy9kb3ducmV2LnhtbESPQWvCQBSE74X+h+UVvOlGU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KgP8UAAADcAAAADwAAAAAAAAAA&#10;AAAAAAChAgAAZHJzL2Rvd25yZXYueG1sUEsFBgAAAAAEAAQA+QAAAJMDAAAAAA==&#10;" strokeweight="0"/>
                      <v:rect id="Rectangle 236" o:spid="_x0000_s1256" style="position:absolute;left:7207;top:21139;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line id="Line 237" o:spid="_x0000_s1257" style="position:absolute;visibility:visible;mso-wrap-style:square" from="63,22313" to="7143,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yb08QAAADcAAAADwAAAGRycy9kb3ducmV2LnhtbESPQWvCQBSE7wX/w/IKvelGqW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JvTxAAAANwAAAAPAAAAAAAAAAAA&#10;AAAAAKECAABkcnMvZG93bnJldi54bWxQSwUGAAAAAAQABAD5AAAAkgMAAAAA&#10;" strokeweight="0"/>
                      <v:rect id="Rectangle 238" o:spid="_x0000_s1258" style="position:absolute;left:63;top:22313;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5ccA&#10;AADcAAAADwAAAGRycy9kb3ducmV2LnhtbESPQWvCQBSE74L/YXmF3symQVtNXUWFQi8FtT3o7Zl9&#10;TYLZt3F3q7G/3hUKPQ4z8w0znXemEWdyvras4ClJQRAXVtdcKvj6fBuMQfiArLGxTAqu5GE+6/em&#10;mGt74Q2dt6EUEcI+RwVVCG0upS8qMugT2xJH79s6gyFKV0rt8BLhppFZmj5LgzXHhQpbWlVUHLc/&#10;RsFyMl6e1kP++N0c9rTfHY6jzKVKPT50i1cQgbrwH/5rv2sF2fA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E+XHAAAA3AAAAA8AAAAAAAAAAAAAAAAAmAIAAGRy&#10;cy9kb3ducmV2LnhtbFBLBQYAAAAABAAEAPUAAACMAwAAAAA=&#10;" fillcolor="black" stroked="f"/>
                      <v:line id="Line 239" o:spid="_x0000_s1259" style="position:absolute;visibility:visible;mso-wrap-style:square" from="7207,22313" to="27622,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rect id="Rectangle 240" o:spid="_x0000_s1260" style="position:absolute;left:7207;top:22313;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line id="Line 241" o:spid="_x0000_s1261" style="position:absolute;visibility:visible;mso-wrap-style:square" from="63,23488" to="7143,2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rect id="Rectangle 242" o:spid="_x0000_s1262" style="position:absolute;left:63;top:23488;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line id="Line 243" o:spid="_x0000_s1263" style="position:absolute;visibility:visible;mso-wrap-style:square" from="7207,23488" to="27622,2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rect id="Rectangle 244" o:spid="_x0000_s1264" style="position:absolute;left:7207;top:23488;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line id="Line 245" o:spid="_x0000_s1265" style="position:absolute;visibility:visible;mso-wrap-style:square" from="63,24663" to="7143,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4sUAAADcAAAADwAAAGRycy9kb3ducmV2LnhtbESPT2vCQBTE74V+h+UVvOlGaT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4sUAAADcAAAADwAAAAAAAAAA&#10;AAAAAAChAgAAZHJzL2Rvd25yZXYueG1sUEsFBgAAAAAEAAQA+QAAAJMDAAAAAA==&#10;" strokeweight="0"/>
                      <v:rect id="Rectangle 246" o:spid="_x0000_s1266" style="position:absolute;left:63;top:24663;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line id="Line 247" o:spid="_x0000_s1267" style="position:absolute;visibility:visible;mso-wrap-style:square" from="7207,24663" to="27622,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NDsQAAADcAAAADwAAAGRycy9kb3ducmV2LnhtbESPT4vCMBTE7wt+h/AEb2uqYLdWo4is&#10;6N7Wf+Dx0TzbYPNSmqzWb79ZWPA4zMxvmPmys7W4U+uNYwWjYQKCuHDacKngdNy8ZyB8QNZYOyYF&#10;T/KwXPTe5phr9+A93Q+hFBHCPkcFVQhNLqUvKrLoh64hjt7VtRZDlG0pdYuPCLe1HCdJKi0ajgsV&#10;NrSuqLgdfqwC851uJ18f5+lZfm7D6JLdMmNPSg363WoGIlAXXuH/9k4rGE9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Q0OxAAAANwAAAAPAAAAAAAAAAAA&#10;AAAAAKECAABkcnMvZG93bnJldi54bWxQSwUGAAAAAAQABAD5AAAAkgMAAAAA&#10;" strokeweight="0"/>
                      <v:rect id="Rectangle 248" o:spid="_x0000_s1268" style="position:absolute;left:7207;top:24663;width:204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9" o:spid="_x0000_s1269" style="position:absolute;visibility:visible;mso-wrap-style:square" from="0,1174" to="6,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858EAAADcAAAADwAAAGRycy9kb3ducmV2LnhtbERPTYvCMBC9C/sfwizsTVMFtVuNsiwu&#10;6k2rwh6HZmyDzaQ0Ueu/NwfB4+N9z5edrcWNWm8cKxgOEhDEhdOGSwXHw18/BeEDssbaMSl4kIfl&#10;4qM3x0y7O+/plodSxBD2GSqoQmgyKX1RkUU/cA1x5M6utRgibEupW7zHcFvLUZJMpEXDsaHChn4r&#10;Ki751Sowu8l6vJ2evk9ytQ7D//SSGntU6uuz+5mBCNSFt/jl3mgFo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jznwQAAANwAAAAPAAAAAAAAAAAAAAAA&#10;AKECAABkcnMvZG93bnJldi54bWxQSwUGAAAAAAQABAD5AAAAjwMAAAAA&#10;" strokeweight="0"/>
                      <v:rect id="Rectangle 250" o:spid="_x0000_s1270" style="position:absolute;top:1174;width:63;height:24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51" o:spid="_x0000_s1271" style="position:absolute;visibility:visible;mso-wrap-style:square" from="63,25838" to="7143,2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6XMIAAADcAAAADwAAAGRycy9kb3ducmV2LnhtbERPz2vCMBS+D/wfwhvstqYK62pnFBkT&#10;523WFnZ8NG9tsHkpTdTuvzeHwY4f3+/VZrK9uNLojWMF8yQFQdw4bbhVUJ12zzkIH5A19o5JwS95&#10;2KxnDysstLvxka5laEUMYV+ggi6EoZDSNx1Z9IkbiCP340aLIcKxlXrEWwy3vVykaSYtGo4NHQ70&#10;3lFzLi9WgfnK9i+H13pZy499mH/n59zYSqmnx2n7BiLQFP7Ff+5PrWCR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6XMIAAADcAAAADwAAAAAAAAAAAAAA&#10;AAChAgAAZHJzL2Rvd25yZXYueG1sUEsFBgAAAAAEAAQA+QAAAJADAAAAAA==&#10;" strokeweight="0"/>
                      <v:rect id="Rectangle 252" o:spid="_x0000_s1272" style="position:absolute;left:63;top:25838;width:70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53" o:spid="_x0000_s1273" style="position:absolute;visibility:visible;mso-wrap-style:square" from="7143,0" to="7150,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MQAAADcAAAADwAAAGRycy9kb3ducmV2LnhtbESPQWvCQBSE7wX/w/IK3urGgGkaXUXE&#10;Yr1Vq+DxkX1NFrNvQ3ar6b93BcHjMDPfMLNFbxtxoc4bxwrGowQEcem04UrB4efzLQfhA7LGxjEp&#10;+CcPi/ngZYaFdlfe0WUfKhEh7AtUUIfQFlL6siaLfuRa4uj9us5iiLKrpO7wGuG2kWmSZNKi4bhQ&#10;Y0urmsrz/s8qMN/ZZrJ9P34c5XoTxqf8nBt7UGr42i+nIAL14Rl+tL+0gjR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sGwxAAAANwAAAAPAAAAAAAAAAAA&#10;AAAAAKECAABkcnMvZG93bnJldi54bWxQSwUGAAAAAAQABAD5AAAAkgMAAAAA&#10;" strokeweight="0"/>
                      <v:rect id="Rectangle 254" o:spid="_x0000_s1274" style="position:absolute;left:7143;width:64;height:2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55" o:spid="_x0000_s1275" style="position:absolute;visibility:visible;mso-wrap-style:square" from="12249,69" to="12255,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8X8QAAADcAAAADwAAAGRycy9kb3ducmV2LnhtbESPQWvCQBSE7wX/w/IKvelGqW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xfxAAAANwAAAAPAAAAAAAAAAAA&#10;AAAAAKECAABkcnMvZG93bnJldi54bWxQSwUGAAAAAAQABAD5AAAAkgMAAAAA&#10;" strokeweight="0"/>
                      <v:rect id="Rectangle 256" o:spid="_x0000_s1276" style="position:absolute;left:12249;top:69;width:63;height:2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57" o:spid="_x0000_s1277" style="position:absolute;visibility:visible;mso-wrap-style:square" from="17354,69" to="1736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Hs8QAAADcAAAADwAAAGRycy9kb3ducmV2LnhtbESPQWvCQBSE74X+h+UJvdWNQmMa3UgR&#10;i+1NrYLHR/aZLMm+Ddmtpv++Kwgeh5n5hlksB9uKC/XeOFYwGScgiEunDVcKDj+frxkIH5A1to5J&#10;wR95WBbPTwvMtbvyji77UIkIYZ+jgjqELpfSlzVZ9GPXEUfv7HqLIcq+krrHa4TbVk6TJJUWDceF&#10;Gjta1VQ2+1+rwGzTzdv37Ph+lOtNmJyyJjP2oNTLaPiYgwg0hEf43v7SCqZ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cezxAAAANwAAAAPAAAAAAAAAAAA&#10;AAAAAKECAABkcnMvZG93bnJldi54bWxQSwUGAAAAAAQABAD5AAAAkgMAAAAA&#10;" strokeweight="0"/>
                      <v:rect id="Rectangle 258" o:spid="_x0000_s1278" style="position:absolute;left:17354;top:69;width:64;height:2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59" o:spid="_x0000_s1279" style="position:absolute;visibility:visible;mso-wrap-style:square" from="22453,69" to="22459,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rect id="Rectangle 260" o:spid="_x0000_s1280" style="position:absolute;left:22453;top:69;width:64;height:2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61" o:spid="_x0000_s1281" style="position:absolute;visibility:visible;mso-wrap-style:square" from="7143,25838" to="27622,2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sgcEAAADcAAAADwAAAGRycy9kb3ducmV2LnhtbERPTYvCMBC9C/sfwix401RhtVuNsiwu&#10;6k2rwh6HZmyDzaQ0Ueu/NwfB4+N9z5edrcWNWm8cKxgNExDEhdOGSwXHw98gBeEDssbaMSl4kIfl&#10;4qM3x0y7O+/plodSxBD2GSqoQmgyKX1RkUU/dA1x5M6utRgibEupW7zHcFvLcZJMpEXDsaHChn4r&#10;Ki751Sowu8n6azs9fZ/kah1G/+klNfaoVP+z+5mBCNSFt/jl3mgF4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pWyBwQAAANwAAAAPAAAAAAAAAAAAAAAA&#10;AKECAABkcnMvZG93bnJldi54bWxQSwUGAAAAAAQABAD5AAAAjwMAAAAA&#10;" strokeweight="0"/>
                      <v:rect id="Rectangle 262" o:spid="_x0000_s1282" style="position:absolute;left:7143;top:25838;width:2047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63" o:spid="_x0000_s1283" style="position:absolute;visibility:visible;mso-wrap-style:square" from="27559,69" to="27565,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XbcQAAADcAAAADwAAAGRycy9kb3ducmV2LnhtbESPT4vCMBTE7wt+h/AEb2tqQa3VKCIr&#10;7t7Wf+Dx0TzbYPNSmqzWb79ZWPA4zMxvmMWqs7W4U+uNYwWjYQKCuHDacKngdNy+ZyB8QNZYOyYF&#10;T/KwWvbeFphr9+A93Q+hFBHCPkcFVQhNLqUvKrLoh64hjt7VtRZDlG0pdYuPCLe1TJNkIi0ajgsV&#10;NrSpqLgdfqwC8z3Zjb+m59lZfuzC6JLdMmNPSg363XoOIlAXXuH/9qdWkE5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1dtxAAAANwAAAAPAAAAAAAAAAAA&#10;AAAAAKECAABkcnMvZG93bnJldi54bWxQSwUGAAAAAAQABAD5AAAAkgMAAAAA&#10;" strokeweight="0"/>
                      <v:rect id="Rectangle 264" o:spid="_x0000_s1284" style="position:absolute;left:27559;top:69;width:63;height:2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65" o:spid="_x0000_s1285" style="position:absolute;visibility:visible;mso-wrap-style:square" from="0,25908" to="6,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6LsUAAADcAAAADwAAAGRycy9kb3ducmV2LnhtbESP3WrCQBSE7wt9h+UUvKsbQ/oX3QQJ&#10;COpFQe0DHLLHJDV7Ns2uSXz7rlDo5TAz3zCrfDKtGKh3jWUFi3kEgri0uuFKwddp8/wOwnlkja1l&#10;UnAjB3n2+LDCVNuRDzQcfSUChF2KCmrvu1RKV9Zk0M1tRxy8s+0N+iD7SuoexwA3rYyj6FUabDgs&#10;1NhRUVN5OV6NArsrfi5j8vJ5un4kw56k+160TqnZ07RegvA0+f/wX3urFcRvCdzPh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Y6LsUAAADcAAAADwAAAAAAAAAA&#10;AAAAAAChAgAAZHJzL2Rvd25yZXYueG1sUEsFBgAAAAAEAAQA+QAAAJMDAAAAAA==&#10;" strokecolor="#d0d7e5" strokeweight="0"/>
                      <v:rect id="Rectangle 266" o:spid="_x0000_s1286" style="position:absolute;top:25908;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O8QA&#10;AADcAAAADwAAAGRycy9kb3ducmV2LnhtbESPT4vCMBTE78J+h/AEL6Kp/5euUUQUPCnrinp8NM+2&#10;bPNSmljrt98sCB6HmfkNM182phA1VS63rGDQj0AQJ1bnnCo4/Wx7nyCcR9ZYWCYFT3KwXHy05hhr&#10;++Bvqo8+FQHCLkYFmfdlLKVLMjLo+rYkDt7NVgZ9kFUqdYWPADeFHEbRVBrMOSxkWNI6o+T3eDcK&#10;uod73WxoPebLc3IeddPrfjqwSnXazeoLhKfGv8Ov9k4rGM4m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vzzvEAAAA3AAAAA8AAAAAAAAAAAAAAAAAmAIAAGRycy9k&#10;b3ducmV2LnhtbFBLBQYAAAAABAAEAPUAAACJAwAAAAA=&#10;" fillcolor="#d0d7e5" stroked="f"/>
                      <v:line id="Line 267" o:spid="_x0000_s1287" style="position:absolute;visibility:visible;mso-wrap-style:square" from="7143,25908" to="7150,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BwsQAAADcAAAADwAAAGRycy9kb3ducmV2LnhtbESP3YrCMBSE7wXfIRzBO00V159qFBEE&#10;dy8Efx7g0BzbanNSm9jWt98sLHg5zMw3zGrTmkLUVLncsoLRMAJBnFidc6rgetkP5iCcR9ZYWCYF&#10;b3KwWXc7K4y1bfhE9dmnIkDYxagg876MpXRJRgbd0JbEwbvZyqAPskqlrrAJcFPIcRRNpcGcw0KG&#10;Je0ySh7nl1Fgv3fPRzP5Ol5ei0n9Q9LdR4VTqt9rt0sQnlr/Cf+3D1rBeDaFvzPh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AHCxAAAANwAAAAPAAAAAAAAAAAA&#10;AAAAAKECAABkcnMvZG93bnJldi54bWxQSwUGAAAAAAQABAD5AAAAkgMAAAAA&#10;" strokecolor="#d0d7e5" strokeweight="0"/>
                      <v:rect id="Rectangle 268" o:spid="_x0000_s1288" style="position:absolute;left:7143;top:25908;width:6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018YA&#10;AADcAAAADwAAAGRycy9kb3ducmV2LnhtbESPQWvCQBSE70L/w/IKvYS60dooqasUacGTYlpaj4/s&#10;axKafRuya0z+vSsIHoeZ+YZZrntTi45aV1lWMBnHIIhzqysuFHx/fT4vQDiPrLG2TAoGcrBePYyW&#10;mGp75gN1mS9EgLBLUUHpfZNK6fKSDLqxbYiD92dbgz7ItpC6xXOAm1pO4ziRBisOCyU2tCkp/89O&#10;RkG0P3X9B21m/Du8/rxExXGXTKxST4/9+xsIT72/h2/trVYwnc/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H018YAAADcAAAADwAAAAAAAAAAAAAAAACYAgAAZHJz&#10;L2Rvd25yZXYueG1sUEsFBgAAAAAEAAQA9QAAAIsDAAAAAA==&#10;" fillcolor="#d0d7e5" stroked="f"/>
                      <v:line id="Line 269" o:spid="_x0000_s1289" style="position:absolute;visibility:visible;mso-wrap-style:square" from="12249,25908" to="12255,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wK8AAAADcAAAADwAAAGRycy9kb3ducmV2LnhtbERPy4rCMBTdD/gP4QruxlRxfFSjiCA4&#10;LgQfH3Bprm21ualNbOvfm4Xg8nDei1VrClFT5XLLCgb9CARxYnXOqYLLefs7BeE8ssbCMil4kYPV&#10;svOzwFjbho9Un3wqQgi7GBVk3pexlC7JyKDr25I4cFdbGfQBVqnUFTYh3BRyGEVjaTDn0JBhSZuM&#10;kvvpaRTY/83j3oz+DufnbFTvSbrboHBK9brteg7CU+u/4o97pxUMJ2FtOB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MCvAAAAA3AAAAA8AAAAAAAAAAAAAAAAA&#10;oQIAAGRycy9kb3ducmV2LnhtbFBLBQYAAAAABAAEAPkAAACOAwAAAAA=&#10;" strokecolor="#d0d7e5" strokeweight="0"/>
                      <v:rect id="Rectangle 270" o:spid="_x0000_s1290" style="position:absolute;left:12249;top:25908;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FPsUA&#10;AADcAAAADwAAAGRycy9kb3ducmV2LnhtbESPQWvCQBSE74L/YXmCF6kbtVqNriKi0FOLtqjHR/aZ&#10;BLNvQ3aN8d+7hYLHYWa+YRarxhSipsrllhUM+hEI4sTqnFMFvz+7tykI55E1FpZJwYMcrJbt1gJj&#10;be+8p/rgUxEg7GJUkHlfxlK6JCODrm9L4uBdbGXQB1mlUld4D3BTyGEUTaTBnMNChiVtMkquh5tR&#10;0Pu+1c2WNu98eoyPo156/poMrFLdTrOeg/DU+Ff4v/2pFQw/ZvB3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sU+xQAAANwAAAAPAAAAAAAAAAAAAAAAAJgCAABkcnMv&#10;ZG93bnJldi54bWxQSwUGAAAAAAQABAD1AAAAigMAAAAA&#10;" fillcolor="#d0d7e5" stroked="f"/>
                      <v:line id="Line 271" o:spid="_x0000_s1291" style="position:absolute;visibility:visible;mso-wrap-style:square" from="17354,25908" to="17360,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hMCsAAAADcAAAADwAAAGRycy9kb3ducmV2LnhtbERPy4rCMBTdC/5DuII7TRUVraYiwoAz&#10;C8HHB1yaa1vb3HSa2Hb+frIQXB7Oe7fvTSVaalxhWcFsGoEgTq0uOFNwv31N1iCcR9ZYWSYFf+Rg&#10;nwwHO4y17fhC7dVnIoSwi1FB7n0dS+nSnAy6qa2JA/ewjUEfYJNJ3WAXwk0l51G0kgYLDg051nTM&#10;KS2vL6PAfh9/y26xPN9em0X7Q9I9Z5VTajzqD1sQnnr/Eb/dJ61gvg7zw5lwBG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4TArAAAAA3AAAAA8AAAAAAAAAAAAAAAAA&#10;oQIAAGRycy9kb3ducmV2LnhtbFBLBQYAAAAABAAEAPkAAACOAwAAAAA=&#10;" strokecolor="#d0d7e5" strokeweight="0"/>
                      <v:rect id="Rectangle 272" o:spid="_x0000_s1292" style="position:absolute;left:17354;top:25908;width:6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5H8UA&#10;AADcAAAADwAAAGRycy9kb3ducmV2LnhtbESPT4vCMBTE74LfITzBi2haXUWqURZZwZOLf1CPj+Zt&#10;W7Z5KU2s9dubhQWPw8z8hlmuW1OKhmpXWFYQjyIQxKnVBWcKzqftcA7CeWSNpWVS8CQH61W3s8RE&#10;2wcfqDn6TAQIuwQV5N5XiZQuzcmgG9mKOHg/tjbog6wzqWt8BLgp5TiKZtJgwWEhx4o2OaW/x7tR&#10;MPi+N+0XbT74+pxeJoPstp/FVql+r/1cgPDU+nf4v73TCsbzGP7O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bkfxQAAANwAAAAPAAAAAAAAAAAAAAAAAJgCAABkcnMv&#10;ZG93bnJldi54bWxQSwUGAAAAAAQABAD1AAAAigMAAAAA&#10;" fillcolor="#d0d7e5" stroked="f"/>
                      <v:line id="Line 273" o:spid="_x0000_s1293" style="position:absolute;visibility:visible;mso-wrap-style:square" from="22453,25908" to="22459,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35sMAAADcAAAADwAAAGRycy9kb3ducmV2LnhtbESP0YrCMBRE34X9h3AX9k1Ti4pbjbII&#10;guuDYPUDLs3dttrcdJvY1r83guDjMDNnmOW6N5VoqXGlZQXjUQSCOLO65FzB+bQdzkE4j6yxskwK&#10;7uRgvfoYLDHRtuMjtanPRYCwS1BB4X2dSOmyggy6ka2Jg/dnG4M+yCaXusEuwE0l4yiaSYMlh4UC&#10;a9oUlF3Tm1Fgfzf/124yPZxu35N2T9JdxpVT6uuz/1mA8NT7d/jV3mkF8TyG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md+bDAAAA3AAAAA8AAAAAAAAAAAAA&#10;AAAAoQIAAGRycy9kb3ducmV2LnhtbFBLBQYAAAAABAAEAPkAAACRAwAAAAA=&#10;" strokecolor="#d0d7e5" strokeweight="0"/>
                      <v:rect id="Rectangle 274" o:spid="_x0000_s1294" style="position:absolute;left:22453;top:25908;width:6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88YA&#10;AADcAAAADwAAAGRycy9kb3ducmV2LnhtbESPQWvCQBSE7wX/w/KEXkQ3xlYkugkiFTxVaovt8ZF9&#10;JsHs25DdxPjvu0Khx2FmvmE22WBq0VPrKssK5rMIBHFudcWFgq/P/XQFwnlkjbVlUnAnB1k6etpg&#10;ou2NP6g/+UIECLsEFZTeN4mULi/JoJvZhjh4F9sa9EG2hdQt3gLc1DKOoqU0WHFYKLGhXUn59dQZ&#10;BZNj1w9vtHvh7/vreTEpft6Xc6vU83jYrkF4Gvx/+K990Ari1QIe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88YAAADcAAAADwAAAAAAAAAAAAAAAACYAgAAZHJz&#10;L2Rvd25yZXYueG1sUEsFBgAAAAAEAAQA9QAAAIsDAAAAAA==&#10;" fillcolor="#d0d7e5" stroked="f"/>
                      <v:line id="Line 275" o:spid="_x0000_s1295" style="position:absolute;visibility:visible;mso-wrap-style:square" from="27559,25908" to="27565,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KCcMAAADcAAAADwAAAGRycy9kb3ducmV2LnhtbESP0YrCMBRE34X9h3AX9k1TpYpbjbII&#10;guuDYPUDLs3dttrcdJvY1r83guDjMDNnmOW6N5VoqXGlZQXjUQSCOLO65FzB+bQdzkE4j6yxskwK&#10;7uRgvfoYLDHRtuMjtanPRYCwS1BB4X2dSOmyggy6ka2Jg/dnG4M+yCaXusEuwE0lJ1E0kwZLDgsF&#10;1rQpKLumN6PA/m7+r108PZxu33G7J+ku48op9fXZ/yxAeOr9O/xq77SCyTyG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DSgnDAAAA3AAAAA8AAAAAAAAAAAAA&#10;AAAAoQIAAGRycy9kb3ducmV2LnhtbFBLBQYAAAAABAAEAPkAAACRAwAAAAA=&#10;" strokecolor="#d0d7e5" strokeweight="0"/>
                      <v:rect id="Rectangle 276" o:spid="_x0000_s1296" style="position:absolute;left:27559;top:25908;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HMQA&#10;AADcAAAADwAAAGRycy9kb3ducmV2LnhtbESPQYvCMBSE7wv+h/AEL7KmuqtINYqIgqcVq6weH82z&#10;LTYvpYm1/vvNguBxmJlvmPmyNaVoqHaFZQXDQQSCOLW64EzB6bj9nIJwHlljaZkUPMnBctH5mGOs&#10;7YMP1CQ+EwHCLkYFufdVLKVLczLoBrYiDt7V1gZ9kHUmdY2PADelHEXRRBosOCzkWNE6p/SW3I2C&#10;/v7etBtaf/P5Of796meXn8nQKtXrtqsZCE+tf4df7Z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vxzEAAAA3AAAAA8AAAAAAAAAAAAAAAAAmAIAAGRycy9k&#10;b3ducmV2LnhtbFBLBQYAAAAABAAEAPUAAACJAwAAAAA=&#10;" fillcolor="#d0d7e5" stroked="f"/>
                      <v:line id="Line 277" o:spid="_x0000_s1297" style="position:absolute;visibility:visible;mso-wrap-style:square" from="27622,0" to="27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x5cQAAADcAAAADwAAAGRycy9kb3ducmV2LnhtbESP0WrCQBRE3wv+w3IF35qNYiWNboII&#10;gvWhUO0HXLLXJJq9G7Nrkv69Wyj0cZiZM8wmH00jeupcbVnBPIpBEBdW11wq+D7vXxMQziNrbCyT&#10;gh9ykGeTlw2m2g78Rf3JlyJA2KWooPK+TaV0RUUGXWRb4uBdbGfQB9mVUnc4BLhp5CKOV9JgzWGh&#10;wpZ2FRW308MosB+7+21Yvn2eH+/L/kjSXeeNU2o2HbdrEJ5G/x/+ax+0gkWygt8z4QjI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XHlxAAAANwAAAAPAAAAAAAAAAAA&#10;AAAAAKECAABkcnMvZG93bnJldi54bWxQSwUGAAAAAAQABAD5AAAAkgMAAAAA&#10;" strokecolor="#d0d7e5" strokeweight="0"/>
                      <v:rect id="Rectangle 278" o:spid="_x0000_s1298" style="position:absolute;left:27622;width:6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E8MUA&#10;AADcAAAADwAAAGRycy9kb3ducmV2LnhtbESPS4vCQBCE7wv+h6EFL6ITdX2QdRQRBU+KD9w9Npne&#10;JJjpCZkxxn/vCAt7LKrqK2q+bEwhaqpcblnBoB+BIE6szjlVcDlvezMQziNrLCyTgic5WC5aH3OM&#10;tX3wkeqTT0WAsItRQeZ9GUvpkowMur4tiYP3ayuDPsgqlbrCR4CbQg6jaCIN5hwWMixpnVFyO92N&#10;gu7hXjcbWn/y93N8HXXTn/1kYJXqtJvVFwhPjf8P/7V3WsFwNoX3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ITwxQAAANwAAAAPAAAAAAAAAAAAAAAAAJgCAABkcnMv&#10;ZG93bnJldi54bWxQSwUGAAAAAAQABAD1AAAAigMAAAAA&#10;" fillcolor="#d0d7e5" stroked="f"/>
                      <v:line id="Line 279" o:spid="_x0000_s1299" style="position:absolute;visibility:visible;mso-wrap-style:square" from="27622,1174" to="27628,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5ADMAAAADcAAAADwAAAGRycy9kb3ducmV2LnhtbERPy4rCMBTdC/5DuII7TRUVraYiwoAz&#10;C8HHB1yaa1vb3HSa2Hb+frIQXB7Oe7fvTSVaalxhWcFsGoEgTq0uOFNwv31N1iCcR9ZYWSYFf+Rg&#10;nwwHO4y17fhC7dVnIoSwi1FB7n0dS+nSnAy6qa2JA/ewjUEfYJNJ3WAXwk0l51G0kgYLDg051nTM&#10;KS2vL6PAfh9/y26xPN9em0X7Q9I9Z5VTajzqD1sQnnr/Eb/dJ61gvg5rw5lwBG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OQAzAAAAA3AAAAA8AAAAAAAAAAAAAAAAA&#10;oQIAAGRycy9kb3ducmV2LnhtbFBLBQYAAAAABAAEAPkAAACOAwAAAAA=&#10;" strokecolor="#d0d7e5" strokeweight="0"/>
                      <v:rect id="Rectangle 280" o:spid="_x0000_s1300" style="position:absolute;left:27622;top:1174;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1GcYA&#10;AADcAAAADwAAAGRycy9kb3ducmV2LnhtbESPQWvCQBSE70L/w/IKvYS60dqgqasUacGTYlpaj4/s&#10;axKafRuya0z+vSsIHoeZ+YZZrntTi45aV1lWMBnHIIhzqysuFHx/fT7PQTiPrLG2TAoGcrBePYyW&#10;mGp75gN1mS9EgLBLUUHpfZNK6fKSDLqxbYiD92dbgz7ItpC6xXOAm1pO4ziRBisOCyU2tCkp/89O&#10;RkG0P3X9B21m/Du8/rxExXGXTKxST4/9+xsIT72/h2/trVYwnS/g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1GcYAAADcAAAADwAAAAAAAAAAAAAAAACYAgAAZHJz&#10;L2Rvd25yZXYueG1sUEsFBgAAAAAEAAQA9QAAAIsDAAAAAA==&#10;" fillcolor="#d0d7e5" stroked="f"/>
                      <v:line id="Line 281" o:spid="_x0000_s1301" style="position:absolute;visibility:visible;mso-wrap-style:square" from="27622,2349" to="27628,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a18AAAADcAAAADwAAAGRycy9kb3ducmV2LnhtbERPy4rCMBTdC/5DuII7TRUVraYiwoAz&#10;C8HHB1yaa1vb3HSa2Hb+frIQXB7Oe7fvTSVaalxhWcFsGoEgTq0uOFNwv31N1iCcR9ZYWSYFf+Rg&#10;nwwHO4y17fhC7dVnIoSwi1FB7n0dS+nSnAy6qa2JA/ewjUEfYJNJ3WAXwk0l51G0kgYLDg051nTM&#10;KS2vL6PAfh9/y26xPN9em0X7Q9I9Z5VTajzqD1sQnnr/Eb/dJ61gvgnzw5lwBG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h2tfAAAAA3AAAAA8AAAAAAAAAAAAAAAAA&#10;oQIAAGRycy9kb3ducmV2LnhtbFBLBQYAAAAABAAEAPkAAACOAwAAAAA=&#10;" strokecolor="#d0d7e5" strokeweight="0"/>
                      <v:rect id="Rectangle 282" o:spid="_x0000_s1302" style="position:absolute;left:27622;top:2349;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vwsYA&#10;AADcAAAADwAAAGRycy9kb3ducmV2LnhtbESPT2vCQBTE7wW/w/IEL1I38R9tmo0UUeipYiq2x0f2&#10;NQnNvg3ZNcZv3y0IPQ4z8xsm3QymET11rrasIJ5FIIgLq2suFZw+9o9PIJxH1thYJgU3crDJRg8p&#10;Jtpe+Uh97ksRIOwSVFB53yZSuqIig25mW+LgfdvOoA+yK6Xu8BrgppHzKFpLgzWHhQpb2lZU/OQX&#10;o2B6uPTDjrZL/rytzotp+fW+jq1Sk/Hw+gLC0+D/w/f2m1Ywf47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gvwsYAAADcAAAADwAAAAAAAAAAAAAAAACYAgAAZHJz&#10;L2Rvd25yZXYueG1sUEsFBgAAAAAEAAQA9QAAAIsDAAAAAA==&#10;" fillcolor="#d0d7e5" stroked="f"/>
                      <v:line id="Line 283" o:spid="_x0000_s1303" style="position:absolute;visibility:visible;mso-wrap-style:square" from="27622,3524" to="27628,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O8MAAADcAAAADwAAAGRycy9kb3ducmV2LnhtbESP0YrCMBRE34X9h3AX9k1Ti4pWoyyC&#10;4PogWPcDLs3dttrcdJvY1r83guDjMDNnmNWmN5VoqXGlZQXjUQSCOLO65FzB73k3nINwHlljZZkU&#10;3MnBZv0xWGGibccnalOfiwBhl6CCwvs6kdJlBRl0I1sTB+/PNgZ9kE0udYNdgJtKxlE0kwZLDgsF&#10;1rQtKLumN6PA/mz/r91kejzfFpP2QNJdxpVT6uuz/16C8NT7d/jV3msF8SKG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4TvDAAAA3AAAAA8AAAAAAAAAAAAA&#10;AAAAoQIAAGRycy9kb3ducmV2LnhtbFBLBQYAAAAABAAEAPkAAACRAwAAAAA=&#10;" strokecolor="#d0d7e5" strokeweight="0"/>
                      <v:rect id="Rectangle 284" o:spid="_x0000_s1304" style="position:absolute;left:27622;top:3524;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ULsUA&#10;AADcAAAADwAAAGRycy9kb3ducmV2LnhtbESPT4vCMBTE78J+h/AEL6Kpf1bcrlFEFDyt6Ip6fDTP&#10;tmzzUppY67c3C4LHYWZ+w8wWjSlETZXLLSsY9CMQxInVOacKjr+b3hSE88gaC8uk4EEOFvOP1gxj&#10;be+8p/rgUxEg7GJUkHlfxlK6JCODrm9L4uBdbWXQB1mlUld4D3BTyGEUTaTBnMNChiWtMkr+Djej&#10;oLu71c2aVmM+Pz5Po256+ZkMrFKddrP8BuGp8e/wq73VCoZfI/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hQuxQAAANwAAAAPAAAAAAAAAAAAAAAAAJgCAABkcnMv&#10;ZG93bnJldi54bWxQSwUGAAAAAAQABAD1AAAAigMAAAAA&#10;" fillcolor="#d0d7e5" stroked="f"/>
                      <v:line id="Line 285" o:spid="_x0000_s1305" style="position:absolute;visibility:visible;mso-wrap-style:square" from="27622,4699" to="27628,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c1MMAAADcAAAADwAAAGRycy9kb3ducmV2LnhtbESP0YrCMBRE34X9h3AX9k1TpYpWoyyC&#10;4PogWPcDLs3dttrcdJvY1r83guDjMDNnmNWmN5VoqXGlZQXjUQSCOLO65FzB73k3nINwHlljZZkU&#10;3MnBZv0xWGGibccnalOfiwBhl6CCwvs6kdJlBRl0I1sTB+/PNgZ9kE0udYNdgJtKTqJoJg2WHBYK&#10;rGlbUHZNb0aB/dn+X7t4ejzfFnF7IOku48op9fXZfy9BeOr9O/xq77WCySKG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a3NTDAAAA3AAAAA8AAAAAAAAAAAAA&#10;AAAAoQIAAGRycy9kb3ducmV2LnhtbFBLBQYAAAAABAAEAPkAAACRAwAAAAA=&#10;" strokecolor="#d0d7e5" strokeweight="0"/>
                      <v:rect id="Rectangle 286" o:spid="_x0000_s1306" style="position:absolute;left:27622;top:4699;width:6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pwcQA&#10;AADcAAAADwAAAGRycy9kb3ducmV2LnhtbESPT4vCMBTE78J+h/AEL6Kpf3G7RhFR8KSsK+rx0Tzb&#10;ss1LaWKt336zIHgcZuY3zHzZmELUVLncsoJBPwJBnFidc6rg9LPtzUA4j6yxsEwKnuRgufhozTHW&#10;9sHfVB99KgKEXYwKMu/LWEqXZGTQ9W1JHLybrQz6IKtU6gofAW4KOYyiqTSYc1jIsKR1Rsnv8W4U&#10;dA/3utnQesyX5+Q86qbX/XRgleq0m9UXCE+Nf4df7Z1WMPycwP+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KcHEAAAA3AAAAA8AAAAAAAAAAAAAAAAAmAIAAGRycy9k&#10;b3ducmV2LnhtbFBLBQYAAAAABAAEAPUAAACJAwAAAAA=&#10;" fillcolor="#d0d7e5" stroked="f"/>
                      <v:line id="Line 287" o:spid="_x0000_s1307" style="position:absolute;visibility:visible;mso-wrap-style:square" from="27622,5873" to="27628,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nOMQAAADcAAAADwAAAGRycy9kb3ducmV2LnhtbESP0WrCQBRE3wv+w3IF35qNYqWJboII&#10;gvWhUO0HXLLXJJq9G7Nrkv69Wyj0cZiZM8wmH00jeupcbVnBPIpBEBdW11wq+D7vX99BOI+ssbFM&#10;Cn7IQZ5NXjaYajvwF/UnX4oAYZeigsr7NpXSFRUZdJFtiYN3sZ1BH2RXSt3hEOCmkYs4XkmDNYeF&#10;ClvaVVTcTg+jwH7s7rdh+fZ5fiTL/kjSXeeNU2o2HbdrEJ5G/x/+ax+0gkWygt8z4QjI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Oc4xAAAANwAAAAPAAAAAAAAAAAA&#10;AAAAAKECAABkcnMvZG93bnJldi54bWxQSwUGAAAAAAQABAD5AAAAkgMAAAAA&#10;" strokecolor="#d0d7e5" strokeweight="0"/>
                      <v:rect id="Rectangle 288" o:spid="_x0000_s1308" style="position:absolute;left:27622;top:5873;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SLcUA&#10;AADcAAAADwAAAGRycy9kb3ducmV2LnhtbESPQWvCQBSE74L/YXmCF6kbtVqNriKi0FOLtqjHR/aZ&#10;BLNvQ3aN8d+7hYLHYWa+YRarxhSipsrllhUM+hEI4sTqnFMFvz+7tykI55E1FpZJwYMcrJbt1gJj&#10;be+8p/rgUxEg7GJUkHlfxlK6JCODrm9L4uBdbGXQB1mlUld4D3BTyGEUTaTBnMNChiVtMkquh5tR&#10;0Pu+1c2WNu98eoyPo156/poMrFLdTrOeg/DU+Ff4v/2pFQxnH/B3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ItxQAAANwAAAAPAAAAAAAAAAAAAAAAAJgCAABkcnMv&#10;ZG93bnJldi54bWxQSwUGAAAAAAQABAD1AAAAigMAAAAA&#10;" fillcolor="#d0d7e5" stroked="f"/>
                      <v:line id="Line 289" o:spid="_x0000_s1309" style="position:absolute;visibility:visible;mso-wrap-style:square" from="27622,7048" to="27628,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fW0cAAAADcAAAADwAAAGRycy9kb3ducmV2LnhtbERPy4rCMBTdC/5DuII7TRUVraYiwoAz&#10;C8HHB1yaa1vb3HSa2Hb+frIQXB7Oe7fvTSVaalxhWcFsGoEgTq0uOFNwv31N1iCcR9ZYWSYFf+Rg&#10;nwwHO4y17fhC7dVnIoSwi1FB7n0dS+nSnAy6qa2JA/ewjUEfYJNJ3WAXwk0l51G0kgYLDg051nTM&#10;KS2vL6PAfh9/y26xPN9em0X7Q9I9Z5VTajzqD1sQnnr/Eb/dJ61gvglrw5lwBG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1tHAAAAA3AAAAA8AAAAAAAAAAAAAAAAA&#10;oQIAAGRycy9kb3ducmV2LnhtbFBLBQYAAAAABAAEAPkAAACOAwAAAAA=&#10;" strokecolor="#d0d7e5" strokeweight="0"/>
                      <v:rect id="Rectangle 290" o:spid="_x0000_s1310" style="position:absolute;left:27622;top:7048;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jxMUA&#10;AADcAAAADwAAAGRycy9kb3ducmV2LnhtbESPT4vCMBTE7wt+h/AEL6Kpuop2jSKi4EnxD+4eH83b&#10;tti8lCbW+u2NsLDHYWZ+w8yXjSlETZXLLSsY9CMQxInVOacKLudtbwrCeWSNhWVS8CQHy0XrY46x&#10;tg8+Un3yqQgQdjEqyLwvYyldkpFB17clcfB+bWXQB1mlUlf4CHBTyGEUTaTBnMNChiWtM0pup7tR&#10;0D3c62ZD60/+fo6vo276s58MrFKddrP6AuGp8f/hv/ZOKxjOZvA+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PExQAAANwAAAAPAAAAAAAAAAAAAAAAAJgCAABkcnMv&#10;ZG93bnJldi54bWxQSwUGAAAAAAQABAD1AAAAigMAAAAA&#10;" fillcolor="#d0d7e5" stroked="f"/>
                      <v:line id="Line 291" o:spid="_x0000_s1311" style="position:absolute;visibility:visible;mso-wrap-style:square" from="27622,8223" to="27628,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AzcIAAADcAAAADwAAAGRycy9kb3ducmV2LnhtbERPzWrCQBC+F/oOywi91Y2tShvdhCIU&#10;qgfBxAcYsmMSzc6m2TWJb+8eBI8f3/86HU0jeupcbVnBbBqBIC6srrlUcMx/379AOI+ssbFMCm7k&#10;IE1eX9YYazvwgfrMlyKEsItRQeV9G0vpiooMuqltiQN3sp1BH2BXSt3hEMJNIz+iaCkN1hwaKmxp&#10;U1Fxya5Ggd1u/i/DfLHPr9/zfkfSnWeNU+ptMv6sQHga/VP8cP9pBZ9RmB/OhCMgk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pAzcIAAADcAAAADwAAAAAAAAAAAAAA&#10;AAChAgAAZHJzL2Rvd25yZXYueG1sUEsFBgAAAAAEAAQA+QAAAJADAAAAAA==&#10;" strokecolor="#d0d7e5" strokeweight="0"/>
                      <v:rect id="Rectangle 292" o:spid="_x0000_s1312" style="position:absolute;left:27622;top:8223;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12MYA&#10;AADcAAAADwAAAGRycy9kb3ducmV2LnhtbESPS2vDMBCE74X+B7GFXkwiu25CcKKEElroKSUPkhwX&#10;a2ubWitjKX78+6hQ6HGYmW+Y1WYwteiodZVlBck0BkGcW11xoeB0/JgsQDiPrLG2TApGcrBZPz6s&#10;MNO25z11B1+IAGGXoYLS+yaT0uUlGXRT2xAH79u2Bn2QbSF1i32Am1q+xPFcGqw4LJTY0Lak/Odw&#10;Mwqir1s3vNP2lS/j7JxGxXU3T6xSz0/D2xKEp8H/h//an1pBGifwey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O12MYAAADcAAAADwAAAAAAAAAAAAAAAACYAgAAZHJz&#10;L2Rvd25yZXYueG1sUEsFBgAAAAAEAAQA9QAAAIsDAAAAAA==&#10;" fillcolor="#d0d7e5" stroked="f"/>
                      <v:line id="Line 293" o:spid="_x0000_s1313" style="position:absolute;visibility:visible;mso-wrap-style:square" from="27622,9398" to="27628,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7IcQAAADcAAAADwAAAGRycy9kb3ducmV2LnhtbESP3YrCMBSE7xd8h3AE79bUnxWtRhFB&#10;cL1YsPoAh+bYVpuT2sS2vv1GWNjLYWa+YVabzpSiodoVlhWMhhEI4tTqgjMFl/P+cw7CeWSNpWVS&#10;8CIHm3XvY4Wxti2fqEl8JgKEXYwKcu+rWEqX5mTQDW1FHLyrrQ36IOtM6hrbADelHEfRTBosOCzk&#10;WNEup/SePI0C+7173Nvp18/5uZg2R5LuNiqdUoN+t12C8NT5//Bf+6AVTKIxvM+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HshxAAAANwAAAAPAAAAAAAAAAAA&#10;AAAAAKECAABkcnMvZG93bnJldi54bWxQSwUGAAAAAAQABAD5AAAAkgMAAAAA&#10;" strokecolor="#d0d7e5" strokeweight="0"/>
                      <v:rect id="Rectangle 294" o:spid="_x0000_s1314" style="position:absolute;left:27622;top:9398;width:6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ONMQA&#10;AADcAAAADwAAAGRycy9kb3ducmV2LnhtbESPQYvCMBSE74L/ITzBi6yp1pWlGkVEwdPKqux6fDTP&#10;tti8lCbW+u83guBxmJlvmPmyNaVoqHaFZQWjYQSCOLW64EzB6bj9+ALhPLLG0jIpeJCD5aLbmWOi&#10;7Z1/qDn4TAQIuwQV5N5XiZQuzcmgG9qKOHgXWxv0QdaZ1DXeA9yUchxFU2mw4LCQY0XrnNLr4WYU&#10;DPa3pt3QesJ/j8/feJCdv6cjq1S/165mIDy1/h1+tXdaQRzF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jjTEAAAA3AAAAA8AAAAAAAAAAAAAAAAAmAIAAGRycy9k&#10;b3ducmV2LnhtbFBLBQYAAAAABAAEAPUAAACJAwAAAAA=&#10;" fillcolor="#d0d7e5" stroked="f"/>
                      <v:line id="Line 295" o:spid="_x0000_s1315" style="position:absolute;visibility:visible;mso-wrap-style:square" from="27622,10572" to="27628,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GzsMAAADcAAAADwAAAGRycy9kb3ducmV2LnhtbESP0YrCMBRE3wX/IVzBN01d6+J2jSLC&#10;gvogrPoBl+Zu27W5qU1s698bQfBxmJkzzGLVmVI0VLvCsoLJOAJBnFpdcKbgfPoZzUE4j6yxtEwK&#10;7uRgtez3Fpho2/IvNUefiQBhl6CC3PsqkdKlORl0Y1sRB+/P1gZ9kHUmdY1tgJtSfkTRpzRYcFjI&#10;saJNTunleDMK7G5zvbTx7HC6fcXNnqT7n5ROqeGgW3+D8NT5d/jV3moF0yiG55l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xRs7DAAAA3AAAAA8AAAAAAAAAAAAA&#10;AAAAoQIAAGRycy9kb3ducmV2LnhtbFBLBQYAAAAABAAEAPkAAACRAwAAAAA=&#10;" strokecolor="#d0d7e5" strokeweight="0"/>
                      <v:rect id="Rectangle 296" o:spid="_x0000_s1316" style="position:absolute;left:27622;top:10572;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z28YA&#10;AADcAAAADwAAAGRycy9kb3ducmV2LnhtbESPQWvCQBSE7wX/w/IKvUizsdYgqatIaKEnpWlRj4/s&#10;axKafRuymxj/fVcQPA4z8w2z2oymEQN1rrasYBbFIIgLq2suFfx8fzwvQTiPrLGxTAou5GCznjys&#10;MNX2zF805L4UAcIuRQWV920qpSsqMugi2xIH79d2Bn2QXSl1h+cAN418ieNEGqw5LFTYUlZR8Zf3&#10;RsF03w/jO2WvfLwsDvNpedolM6vU0+O4fQPhafT38K39qRXM4wV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iz28YAAADcAAAADwAAAAAAAAAAAAAAAACYAgAAZHJz&#10;L2Rvd25yZXYueG1sUEsFBgAAAAAEAAQA9QAAAIsDAAAAAA==&#10;" fillcolor="#d0d7e5" stroked="f"/>
                      <v:line id="Line 297" o:spid="_x0000_s1317" style="position:absolute;visibility:visible;mso-wrap-style:square" from="27622,11747" to="27628,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99IsMAAADcAAAADwAAAGRycy9kb3ducmV2LnhtbESP0YrCMBRE3wX/IVzBN01dXdFqlEUQ&#10;dB8WrH7Apbm21eamNrGtf79ZWPBxmJkzzHrbmVI0VLvCsoLJOAJBnFpdcKbgct6PFiCcR9ZYWiYF&#10;L3Kw3fR7a4y1bflETeIzESDsYlSQe1/FUro0J4NubCvi4F1tbdAHWWdS19gGuCnlRxTNpcGCw0KO&#10;Fe1ySu/J0yiwx93j3s4+f87P5az5Juluk9IpNRx0XysQnjr/Dv+3D1rBNJrD35lw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fSLDAAAA3AAAAA8AAAAAAAAAAAAA&#10;AAAAoQIAAGRycy9kb3ducmV2LnhtbFBLBQYAAAAABAAEAPkAAACRAwAAAAA=&#10;" strokecolor="#d0d7e5" strokeweight="0"/>
                      <v:rect id="Rectangle 298" o:spid="_x0000_s1318" style="position:absolute;left:27622;top:11747;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IN8YA&#10;AADcAAAADwAAAGRycy9kb3ducmV2LnhtbESPQWvCQBSE74X+h+UVvIhuNG0q0VWKKPRUaRTr8ZF9&#10;JqHZtyG7xuTfdwuFHoeZ+YZZbXpTi45aV1lWMJtGIIhzqysuFJyO+8kChPPIGmvLpGAgB5v148MK&#10;U23v/Eld5gsRIOxSVFB636RSurwkg25qG+LgXW1r0AfZFlK3eA9wU8t5FCXSYMVhocSGtiXl39nN&#10;KBgfbl2/o+0zfw0v53hcXD6SmVVq9NS/LUF46v1/+K/9rhXE0Sv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IN8YAAADcAAAADwAAAAAAAAAAAAAAAACYAgAAZHJz&#10;L2Rvd25yZXYueG1sUEsFBgAAAAAEAAQA9QAAAIsDAAAAAA==&#10;" fillcolor="#d0d7e5" stroked="f"/>
                      <v:line id="Line 299" o:spid="_x0000_s1319" style="position:absolute;visibility:visible;mso-wrap-style:square" from="27622,12922" to="27628,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xMy8IAAADcAAAADwAAAGRycy9kb3ducmV2LnhtbERPzWrCQBC+F/oOywi91Y2tShvdhCIU&#10;qgfBxAcYsmMSzc6m2TWJb+8eBI8f3/86HU0jeupcbVnBbBqBIC6srrlUcMx/379AOI+ssbFMCm7k&#10;IE1eX9YYazvwgfrMlyKEsItRQeV9G0vpiooMuqltiQN3sp1BH2BXSt3hEMJNIz+iaCkN1hwaKmxp&#10;U1Fxya5Ggd1u/i/DfLHPr9/zfkfSnWeNU+ptMv6sQHga/VP8cP9pBZ9RWBvOhCMgk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xMy8IAAADcAAAADwAAAAAAAAAAAAAA&#10;AAChAgAAZHJzL2Rvd25yZXYueG1sUEsFBgAAAAAEAAQA+QAAAJADAAAAAA==&#10;" strokecolor="#d0d7e5" strokeweight="0"/>
                      <v:rect id="Rectangle 300" o:spid="_x0000_s1320" style="position:absolute;left:27622;top:12922;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53sYA&#10;AADcAAAADwAAAGRycy9kb3ducmV2LnhtbESPQWvCQBSE74X+h+UVvIhuNG2o0VWKKPRUaRTr8ZF9&#10;JqHZtyG7xuTfdwuFHoeZ+YZZbXpTi45aV1lWMJtGIIhzqysuFJyO+8krCOeRNdaWScFADjbrx4cV&#10;ptre+ZO6zBciQNilqKD0vkmldHlJBt3UNsTBu9rWoA+yLaRu8R7gppbzKEqkwYrDQokNbUvKv7Ob&#10;UTA+3Lp+R9tn/hpezvG4uHwkM6vU6Kl/W4Lw1Pv/8F/7XSuIowX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53sYAAADcAAAADwAAAAAAAAAAAAAAAACYAgAAZHJz&#10;L2Rvd25yZXYueG1sUEsFBgAAAAAEAAQA9QAAAIsDAAAAAA==&#10;" fillcolor="#d0d7e5" stroked="f"/>
                      <v:line id="Line 301" o:spid="_x0000_s1321" style="position:absolute;visibility:visible;mso-wrap-style:square" from="27622,14090" to="27628,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WEMEAAADcAAAADwAAAGRycy9kb3ducmV2LnhtbERPzYrCMBC+L/gOYYS9rWnVFa1GEUHY&#10;9bBg9QGGZmyrzaQ2se2+vTkIHj++/9WmN5VoqXGlZQXxKAJBnFldcq7gfNp/zUE4j6yxskwK/snB&#10;Zj34WGGibcdHalOfixDCLkEFhfd1IqXLCjLoRrYmDtzFNgZ9gE0udYNdCDeVHEfRTBosOTQUWNOu&#10;oOyWPowC+7u737rp99/psZi2B5LuGldOqc9hv12C8NT7t/jl/tEKJnGYH86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09YQwQAAANwAAAAPAAAAAAAAAAAAAAAA&#10;AKECAABkcnMvZG93bnJldi54bWxQSwUGAAAAAAQABAD5AAAAjwMAAAAA&#10;" strokecolor="#d0d7e5" strokeweight="0"/>
                      <v:rect id="Rectangle 302" o:spid="_x0000_s1322" style="position:absolute;left:27622;top:14090;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jBcQA&#10;AADcAAAADwAAAGRycy9kb3ducmV2LnhtbESPQYvCMBSE74L/ITzBi6xp1ZWlGkVEwdPKqux6fDTP&#10;tti8lCbW+u83guBxmJlvmPmyNaVoqHaFZQXxMAJBnFpdcKbgdNx+fIFwHlljaZkUPMjBctHtzDHR&#10;9s4/1Bx8JgKEXYIKcu+rREqX5mTQDW1FHLyLrQ36IOtM6hrvAW5KOYqiqTRYcFjIsaJ1Tun1cDMK&#10;Bvtb025oPeG/x+fveJCdv6exVarfa1czEJ5a/w6/2jutYBzH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IwXEAAAA3AAAAA8AAAAAAAAAAAAAAAAAmAIAAGRycy9k&#10;b3ducmV2LnhtbFBLBQYAAAAABAAEAPUAAACJAwAAAAA=&#10;" fillcolor="#d0d7e5" stroked="f"/>
                      <v:line id="Line 303" o:spid="_x0000_s1323" style="position:absolute;visibility:visible;mso-wrap-style:square" from="27622,15265" to="27628,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3t/MQAAADcAAAADwAAAGRycy9kb3ducmV2LnhtbESP3YrCMBSE7xd8h3AE79a06opWoyzC&#10;gnqx4M8DHJpjW21OahPb+vZGWNjLYWa+YZbrzpSiodoVlhXEwwgEcWp1wZmC8+nncwbCeWSNpWVS&#10;8CQH61XvY4mJti0fqDn6TAQIuwQV5N5XiZQuzcmgG9qKOHgXWxv0QdaZ1DW2AW5KOYqiqTRYcFjI&#10;saJNTunt+DAK7G5zv7WTr9/TYz5p9iTdNS6dUoN+970A4anz/+G/9lYrGMcjeJ8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e38xAAAANwAAAAPAAAAAAAAAAAA&#10;AAAAAKECAABkcnMvZG93bnJldi54bWxQSwUGAAAAAAQABAD5AAAAkgMAAAAA&#10;" strokecolor="#d0d7e5" strokeweight="0"/>
                      <v:rect id="Rectangle 304" o:spid="_x0000_s1324" style="position:absolute;left:27622;top:15265;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Y6cUA&#10;AADcAAAADwAAAGRycy9kb3ducmV2LnhtbESPQWvCQBSE70L/w/IKvYhu0lgpMRsRUfBUqS3W4yP7&#10;moRm34bsGuO/7wqCx2FmvmGy5WAa0VPnassK4mkEgriwuuZSwffXdvIOwnlkjY1lUnAlB8v8aZRh&#10;qu2FP6k/+FIECLsUFVTet6mUrqjIoJvaljh4v7Yz6IPsSqk7vAS4aeRrFM2lwZrDQoUtrSsq/g5n&#10;o2C8P/fDhtYz/rm+HZNxefqYx1apl+dhtQDhafCP8L290wqSOIHbmXA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BjpxQAAANwAAAAPAAAAAAAAAAAAAAAAAJgCAABkcnMv&#10;ZG93bnJldi54bWxQSwUGAAAAAAQABAD1AAAAigMAAAAA&#10;" fillcolor="#d0d7e5" stroked="f"/>
                      <v:line id="Line 305" o:spid="_x0000_s1325" style="position:absolute;visibility:visible;mso-wrap-style:square" from="27622,16440" to="27628,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QE8QAAADcAAAADwAAAGRycy9kb3ducmV2LnhtbESP0WrCQBRE34X+w3ILfdNNbCwaXaUI&#10;gvVBqPoBl+w1iWbvptk1iX/fFQQfh5k5wyxWvalES40rLSuIRxEI4szqknMFp+NmOAXhPLLGyjIp&#10;uJOD1fJtsMBU245/qT34XAQIuxQVFN7XqZQuK8igG9maOHhn2xj0QTa51A12AW4qOY6iL2mw5LBQ&#10;YE3rgrLr4WYU2J/137VLJvvjbZa0O5LuEldOqY/3/nsOwlPvX+Fne6sVfMYJPM6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NATxAAAANwAAAAPAAAAAAAAAAAA&#10;AAAAAKECAABkcnMvZG93bnJldi54bWxQSwUGAAAAAAQABAD5AAAAkgMAAAAA&#10;" strokecolor="#d0d7e5" strokeweight="0"/>
                      <v:rect id="Rectangle 306" o:spid="_x0000_s1326" style="position:absolute;left:27622;top:16440;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lBsYA&#10;AADcAAAADwAAAGRycy9kb3ducmV2LnhtbESPT2vCQBTE7wW/w/IKvUjdpGmkRFcRaaEni1q0x0f2&#10;mYRm34bsmj/fvisUPA4z8xtmuR5MLTpqXWVZQTyLQBDnVldcKPg+fjy/gXAeWWNtmRSM5GC9mjws&#10;MdO25z11B1+IAGGXoYLS+yaT0uUlGXQz2xAH72Jbgz7ItpC6xT7ATS1fomguDVYcFkpsaFtS/nu4&#10;GgXTr2s3vNP2lc9jekqmxc9uHlulnh6HzQKEp8Hfw//tT60giV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lBsYAAADcAAAADwAAAAAAAAAAAAAAAACYAgAAZHJz&#10;L2Rvd25yZXYueG1sUEsFBgAAAAAEAAQA9QAAAIsDAAAAAA==&#10;" fillcolor="#d0d7e5" stroked="f"/>
                      <v:line id="Line 307" o:spid="_x0000_s1327" style="position:absolute;visibility:visible;mso-wrap-style:square" from="27622,17614" to="27628,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r/8UAAADcAAAADwAAAGRycy9kb3ducmV2LnhtbESP3WrCQBSE74W+w3IK3ukmbZQ2uoYS&#10;KNheCNU+wCF7TFKzZ9Ps5qdv3xUEL4eZ+YbZZpNpxECdqy0riJcRCOLC6ppLBd+n98ULCOeRNTaW&#10;ScEfOch2D7MtptqO/EXD0ZciQNilqKDyvk2ldEVFBt3StsTBO9vOoA+yK6XucAxw08inKFpLgzWH&#10;hQpbyisqLsfeKLAf+e9lTFaHU/+aDJ8k3U/cOKXmj9PbBoSnyd/Dt/ZeK3iO13A9E4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br/8UAAADcAAAADwAAAAAAAAAA&#10;AAAAAAChAgAAZHJzL2Rvd25yZXYueG1sUEsFBgAAAAAEAAQA+QAAAJMDAAAAAA==&#10;" strokecolor="#d0d7e5" strokeweight="0"/>
                      <v:rect id="Rectangle 308" o:spid="_x0000_s1328" style="position:absolute;left:27622;top:17614;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e6sYA&#10;AADcAAAADwAAAGRycy9kb3ducmV2LnhtbESPQWvCQBSE74L/YXmCF6mbaLUlzUaKKHiqaMX2+Mi+&#10;JqHZtyG7xvjv3ULB4zAz3zDpqje16Kh1lWUF8TQCQZxbXXGh4PS5fXoF4TyyxtoyKbiRg1U2HKSY&#10;aHvlA3VHX4gAYZeggtL7JpHS5SUZdFPbEAfvx7YGfZBtIXWL1wA3tZxF0VIarDgslNjQuqT893gx&#10;Cib7S9dvaP3MX7fFeT4pvj+WsVVqPOrf30B46v0j/N/eaQXz+AX+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8e6sYAAADcAAAADwAAAAAAAAAAAAAAAACYAgAAZHJz&#10;L2Rvd25yZXYueG1sUEsFBgAAAAAEAAQA9QAAAIsDAAAAAA==&#10;" fillcolor="#d0d7e5" stroked="f"/>
                      <v:line id="Line 309" o:spid="_x0000_s1329" style="position:absolute;visibility:visible;mso-wrap-style:square" from="27622,18789" to="27628,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aFsEAAADcAAAADwAAAGRycy9kb3ducmV2LnhtbERPzYrCMBC+L/gOYYS9rWnVFa1GEUHY&#10;9bBg9QGGZmyrzaQ2se2+vTkIHj++/9WmN5VoqXGlZQXxKAJBnFldcq7gfNp/zUE4j6yxskwK/snB&#10;Zj34WGGibcdHalOfixDCLkEFhfd1IqXLCjLoRrYmDtzFNgZ9gE0udYNdCDeVHEfRTBosOTQUWNOu&#10;oOyWPowC+7u737rp99/psZi2B5LuGldOqc9hv12C8NT7t/jl/tEKJnFYG86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pdoWwQAAANwAAAAPAAAAAAAAAAAAAAAA&#10;AKECAABkcnMvZG93bnJldi54bWxQSwUGAAAAAAQABAD5AAAAjwMAAAAA&#10;" strokecolor="#d0d7e5" strokeweight="0"/>
                      <v:rect id="Rectangle 310" o:spid="_x0000_s1330" style="position:absolute;left:27622;top:18789;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vA8YA&#10;AADcAAAADwAAAGRycy9kb3ducmV2LnhtbESPQWvCQBSE74L/YXmCF6mbaJU2zUaKKHiqaMX2+Mi+&#10;JqHZtyG7xvjv3ULB4zAz3zDpqje16Kh1lWUF8TQCQZxbXXGh4PS5fXoB4TyyxtoyKbiRg1U2HKSY&#10;aHvlA3VHX4gAYZeggtL7JpHS5SUZdFPbEAfvx7YGfZBtIXWL1wA3tZxF0VIarDgslNjQuqT893gx&#10;Cib7S9dvaP3MX7fFeT4pvj+WsVVqPOrf30B46v0j/N/eaQXz+BX+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vA8YAAADcAAAADwAAAAAAAAAAAAAAAACYAgAAZHJz&#10;L2Rvd25yZXYueG1sUEsFBgAAAAAEAAQA9QAAAIsDAAAAAA==&#10;" fillcolor="#d0d7e5" stroked="f"/>
                      <v:line id="Line 311" o:spid="_x0000_s1331" style="position:absolute;visibility:visible;mso-wrap-style:square" from="27622,19964" to="27628,1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8crcIAAADcAAAADwAAAGRycy9kb3ducmV2LnhtbERPy2rCQBTdF/yH4Qru6sRHi0YnQQTB&#10;dlFo4gdcMtckmrkTM2OS/n1nUejycN77dDSN6KlztWUFi3kEgriwuuZSwSU/vW5AOI+ssbFMCn7I&#10;QZpMXvYYazvwN/WZL0UIYRejgsr7NpbSFRUZdHPbEgfuajuDPsCulLrDIYSbRi6j6F0arDk0VNjS&#10;saLinj2NAvtxfNyH9dtX/tyu+0+S7rZonFKz6XjYgfA0+n/xn/usFayWYX44E46AT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8crcIAAADcAAAADwAAAAAAAAAAAAAA&#10;AAChAgAAZHJzL2Rvd25yZXYueG1sUEsFBgAAAAAEAAQA+QAAAJADAAAAAA==&#10;" strokecolor="#d0d7e5" strokeweight="0"/>
                      <v:rect id="Rectangle 312" o:spid="_x0000_s1332" style="position:absolute;left:27622;top:19964;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puMYA&#10;AADcAAAADwAAAGRycy9kb3ducmV2LnhtbESPT2vCQBTE7wW/w/IKvUjdRGso0VVEWuipYiza4yP7&#10;TEKzb0N288dv3xUKPQ4z8xtmvR1NLXpqXWVZQTyLQBDnVldcKPg6vT+/gnAeWWNtmRTcyMF2M3lY&#10;Y6rtwEfqM1+IAGGXooLS+yaV0uUlGXQz2xAH72pbgz7ItpC6xSHATS3nUZRIgxWHhRIb2peU/2Sd&#10;UTA9dP34RvsXvtyW58W0+P5MYqvU0+O4W4HwNPr/8F/7QytYzG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bpuMYAAADcAAAADwAAAAAAAAAAAAAAAACYAgAAZHJz&#10;L2Rvd25yZXYueG1sUEsFBgAAAAAEAAQA9QAAAIsDAAAAAA==&#10;" fillcolor="#d0d7e5" stroked="f"/>
                      <v:line id="Line 313" o:spid="_x0000_s1333" style="position:absolute;visibility:visible;mso-wrap-style:square" from="27622,21139" to="27628,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nQcQAAADcAAAADwAAAGRycy9kb3ducmV2LnhtbESP3YrCMBSE7xd8h3AE79bU6opWoyzC&#10;gnqx4M8DHJpjW21OahPb+vZGWNjLYWa+YZbrzpSiodoVlhWMhhEI4tTqgjMF59PP5wyE88gaS8uk&#10;4EkO1qvexxITbVs+UHP0mQgQdgkqyL2vEildmpNBN7QVcfAutjbog6wzqWtsA9yUMo6iqTRYcFjI&#10;saJNTunt+DAK7G5zv7WTr9/TYz5p9iTddVQ6pQb97nsBwlPn/8N/7a1WMI5jeJ8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SdBxAAAANwAAAAPAAAAAAAAAAAA&#10;AAAAAKECAABkcnMvZG93bnJldi54bWxQSwUGAAAAAAQABAD5AAAAkgMAAAAA&#10;" strokecolor="#d0d7e5" strokeweight="0"/>
                      <v:rect id="Rectangle 314" o:spid="_x0000_s1334" style="position:absolute;left:27622;top:21139;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SVMQA&#10;AADcAAAADwAAAGRycy9kb3ducmV2LnhtbESPQYvCMBSE78L+h/AEL6Kp1hXpGmURBU8uuqIeH83b&#10;tti8lCbW+u/NguBxmJlvmPmyNaVoqHaFZQWjYQSCOLW64EzB8XczmIFwHlljaZkUPMjBcvHRmWOi&#10;7Z331Bx8JgKEXYIKcu+rREqX5mTQDW1FHLw/Wxv0QdaZ1DXeA9yUchxFU2mw4LCQY0WrnNLr4WYU&#10;9H9uTbum1YTPj89T3M8uu+nIKtXrtt9fIDy1/h1+tbdaQTyO4f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0lTEAAAA3AAAAA8AAAAAAAAAAAAAAAAAmAIAAGRycy9k&#10;b3ducmV2LnhtbFBLBQYAAAAABAAEAPUAAACJAwAAAAA=&#10;" fillcolor="#d0d7e5" stroked="f"/>
                      <v:line id="Line 315" o:spid="_x0000_s1335" style="position:absolute;visibility:visible;mso-wrap-style:square" from="27622,22313" to="27628,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rsQAAADcAAAADwAAAGRycy9kb3ducmV2LnhtbESP3YrCMBSE7xd8h3AE79ZU7YpWo4gg&#10;uF4s+PMAh+bYVpuT2sS2vv1GWNjLYWa+YZbrzpSiodoVlhWMhhEI4tTqgjMFl/PucwbCeWSNpWVS&#10;8CIH61XvY4mJti0fqTn5TAQIuwQV5N5XiZQuzcmgG9qKOHhXWxv0QdaZ1DW2AW5KOY6iqTRYcFjI&#10;saJtTun99DQK7Pf2cW/jr5/zcx43B5LuNiqdUoN+t1mA8NT5//Bfe68VTMY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BquxAAAANwAAAAPAAAAAAAAAAAA&#10;AAAAAKECAABkcnMvZG93bnJldi54bWxQSwUGAAAAAAQABAD5AAAAkgMAAAAA&#10;" strokecolor="#d0d7e5" strokeweight="0"/>
                      <v:rect id="Rectangle 316" o:spid="_x0000_s1336" style="position:absolute;left:27622;top:22313;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vu8YA&#10;AADcAAAADwAAAGRycy9kb3ducmV2LnhtbESPQWvCQBSE7wX/w/KEXkQ3ahVJXaVICz21GEV7fGRf&#10;k9Ds25DdJOu/7xYKHoeZ+YbZ7oOpRU+tqywrmM8SEMS51RUXCs6nt+kGhPPIGmvLpOBGDva70cMW&#10;U20HPlKf+UJECLsUFZTeN6mULi/JoJvZhjh637Y16KNsC6lbHCLc1HKRJGtpsOK4UGJDh5Lyn6wz&#10;CiafXR9e6fDE19vqspwUXx/ruVXqcRxenkF4Cv4e/m+/awXLxQr+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3vu8YAAADcAAAADwAAAAAAAAAAAAAAAACYAgAAZHJz&#10;L2Rvd25yZXYueG1sUEsFBgAAAAAEAAQA9QAAAIsDAAAAAA==&#10;" fillcolor="#d0d7e5" stroked="f"/>
                      <v:line id="Line 317" o:spid="_x0000_s1337" style="position:absolute;visibility:visible;mso-wrap-style:square" from="27622,23488" to="27628,2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QsUAAADcAAAADwAAAGRycy9kb3ducmV2LnhtbESP3WrCQBSE74W+w3IKvdNNrEqbuhEJ&#10;FGovBGMf4JA9TVKzZ2N28+PbdwsFL4eZ+YbZ7ibTiIE6V1tWEC8iEMSF1TWXCr7O7/MXEM4ja2ws&#10;k4IbOdilD7MtJtqOfKIh96UIEHYJKqi8bxMpXVGRQbewLXHwvm1n0AfZlVJ3OAa4aeQyijbSYM1h&#10;ocKWsoqKS94bBfaQXS/jan0896+r4ZOk+4kbp9TT47R/A+Fp8vfwf/tDK3hebuD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ohQsUAAADcAAAADwAAAAAAAAAA&#10;AAAAAAChAgAAZHJzL2Rvd25yZXYueG1sUEsFBgAAAAAEAAQA+QAAAJMDAAAAAA==&#10;" strokecolor="#d0d7e5" strokeweight="0"/>
                      <v:rect id="Rectangle 318" o:spid="_x0000_s1338" style="position:absolute;left:27622;top:23488;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UV8UA&#10;AADcAAAADwAAAGRycy9kb3ducmV2LnhtbESPT4vCMBTE78J+h/AEL6Kpf1aXrlFEFDyt6Ip6fDTP&#10;tmzzUppY67c3C4LHYWZ+w8wWjSlETZXLLSsY9CMQxInVOacKjr+b3hcI55E1FpZJwYMcLOYfrRnG&#10;2t55T/XBpyJA2MWoIPO+jKV0SUYGXd+WxMG72sqgD7JKpa7wHuCmkMMomkiDOYeFDEtaZZT8HW5G&#10;QXd3q5s1rcZ8fnyeRt308jMZWKU67Wb5DcJT49/hV3urFYyGU/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9RXxQAAANwAAAAPAAAAAAAAAAAAAAAAAJgCAABkcnMv&#10;ZG93bnJldi54bWxQSwUGAAAAAAQABAD1AAAAigMAAAAA&#10;" fillcolor="#d0d7e5" stroked="f"/>
                      <v:line id="Line 319" o:spid="_x0000_s1339" style="position:absolute;visibility:visible;mso-wrap-style:square" from="27622,24663" to="27628,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q8IAAADcAAAADwAAAGRycy9kb3ducmV2LnhtbERPy2rCQBTdF/yH4Qru6sRHi0YnQQTB&#10;dlFo4gdcMtckmrkTM2OS/n1nUejycN77dDSN6KlztWUFi3kEgriwuuZSwSU/vW5AOI+ssbFMCn7I&#10;QZpMXvYYazvwN/WZL0UIYRejgsr7NpbSFRUZdHPbEgfuajuDPsCulLrDIYSbRi6j6F0arDk0VNjS&#10;saLinj2NAvtxfNyH9dtX/tyu+0+S7rZonFKz6XjYgfA0+n/xn/usFayWYW04E46AT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kQq8IAAADcAAAADwAAAAAAAAAAAAAA&#10;AAChAgAAZHJzL2Rvd25yZXYueG1sUEsFBgAAAAAEAAQA+QAAAJADAAAAAA==&#10;" strokecolor="#d0d7e5" strokeweight="0"/>
                      <v:rect id="Rectangle 320" o:spid="_x0000_s1340" style="position:absolute;left:27622;top:24663;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lvsUA&#10;AADcAAAADwAAAGRycy9kb3ducmV2LnhtbESPT4vCMBTE78J+h/AEL6Kpf1bcrlFEFDyt6Ip6fDTP&#10;tmzzUppY67c3C4LHYWZ+w8wWjSlETZXLLSsY9CMQxInVOacKjr+b3hSE88gaC8uk4EEOFvOP1gxj&#10;be+8p/rgUxEg7GJUkHlfxlK6JCODrm9L4uBdbWXQB1mlUld4D3BTyGEUTaTBnMNChiWtMkr+Djej&#10;oLu71c2aVmM+Pz5Po256+ZkMrFKddrP8BuGp8e/wq73VCkbDL/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OW+xQAAANwAAAAPAAAAAAAAAAAAAAAAAJgCAABkcnMv&#10;ZG93bnJldi54bWxQSwUGAAAAAAQABAD1AAAAigMAAAAA&#10;" fillcolor="#d0d7e5" stroked="f"/>
                      <v:line id="Line 321" o:spid="_x0000_s1341" style="position:absolute;visibility:visible;mso-wrap-style:square" from="27622,25838" to="27628,2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KcMIAAADcAAAADwAAAGRycy9kb3ducmV2LnhtbERPzWqDQBC+B/IOywR6i6vVlMa6CSVQ&#10;aHoINOkDDO5Ere6sdTdq3r57KPT48f0X+9l0YqTBNZYVJFEMgri0uuFKwdflbf0MwnlkjZ1lUnAn&#10;B/vdclFgru3EnzSefSVCCLscFdTe97mUrqzJoItsTxy4qx0M+gCHSuoBpxBuOvkYx0/SYMOhocae&#10;DjWV7flmFNjj4aedss3pcttm4wdJ9510TqmH1fz6AsLT7P/Ff+53rSBNw/xwJhw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aKcMIAAADcAAAADwAAAAAAAAAAAAAA&#10;AAChAgAAZHJzL2Rvd25yZXYueG1sUEsFBgAAAAAEAAQA+QAAAJADAAAAAA==&#10;" strokecolor="#d0d7e5" strokeweight="0"/>
                      <v:rect id="Rectangle 322" o:spid="_x0000_s1342" style="position:absolute;left:27622;top:25838;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ZcUA&#10;AADcAAAADwAAAGRycy9kb3ducmV2LnhtbESPQWvCQBSE70L/w/IKvYhu0lgpMRsRUfBUqS3W4yP7&#10;moRm34bsGuO/7wqCx2FmvmGy5WAa0VPnassK4mkEgriwuuZSwffXdvIOwnlkjY1lUnAlB8v8aZRh&#10;qu2FP6k/+FIECLsUFVTet6mUrqjIoJvaljh4v7Yz6IPsSqk7vAS4aeRrFM2lwZrDQoUtrSsq/g5n&#10;o2C8P/fDhtYz/rm+HZNxefqYx1apl+dhtQDhafCP8L290wqSJIbbmXA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39lxQAAANwAAAAPAAAAAAAAAAAAAAAAAJgCAABkcnMv&#10;ZG93bnJldi54bWxQSwUGAAAAAAQABAD1AAAAigMAAAAA&#10;" fillcolor="#d0d7e5" stroked="f"/>
                      <w10:anchorlock/>
                    </v:group>
                  </w:pict>
                </mc:Fallback>
              </mc:AlternateContent>
            </w:r>
          </w:p>
          <w:p w:rsidR="00AB0F4E" w:rsidRPr="00BA20B4" w:rsidRDefault="00AB0F4E" w:rsidP="00394C26">
            <w:pPr>
              <w:jc w:val="both"/>
              <w:rPr>
                <w:rFonts w:ascii="Times New Roman" w:hAnsi="Times New Roman" w:cs="Arial"/>
                <w:sz w:val="13"/>
                <w:szCs w:val="13"/>
                <w:highlight w:val="yellow"/>
              </w:rPr>
            </w:pPr>
            <w:r w:rsidRPr="00BA20B4">
              <w:rPr>
                <w:rFonts w:ascii="Times New Roman" w:hAnsi="Times New Roman" w:cs="Arial"/>
                <w:sz w:val="13"/>
                <w:szCs w:val="13"/>
              </w:rPr>
              <w:t>Fuente: Secretaría de Educación del Distrito</w:t>
            </w:r>
          </w:p>
          <w:p w:rsidR="00AB0F4E" w:rsidRPr="00BA20B4" w:rsidRDefault="00AB0F4E" w:rsidP="00394C26">
            <w:pPr>
              <w:jc w:val="both"/>
              <w:rPr>
                <w:rFonts w:ascii="Times New Roman" w:hAnsi="Times New Roman" w:cs="Arial"/>
                <w:b/>
                <w:sz w:val="15"/>
                <w:szCs w:val="15"/>
              </w:rPr>
            </w:pPr>
          </w:p>
        </w:tc>
      </w:tr>
    </w:tbl>
    <w:p w:rsidR="005A5B0C" w:rsidRPr="00BA20B4" w:rsidRDefault="005A5B0C" w:rsidP="005A5B0C">
      <w:pPr>
        <w:jc w:val="both"/>
        <w:rPr>
          <w:rFonts w:ascii="Times New Roman" w:hAnsi="Times New Roman" w:cs="Arial"/>
        </w:rPr>
      </w:pPr>
    </w:p>
    <w:p w:rsidR="00DF611E" w:rsidRDefault="005A5B0C">
      <w:pPr>
        <w:pStyle w:val="Textoindependiente"/>
        <w:spacing w:after="0"/>
        <w:jc w:val="both"/>
        <w:rPr>
          <w:rFonts w:ascii="Times New Roman" w:hAnsi="Times New Roman"/>
          <w:lang w:val="es-ES" w:eastAsia="es-ES"/>
        </w:rPr>
      </w:pPr>
      <w:r w:rsidRPr="00714F0E">
        <w:rPr>
          <w:rFonts w:ascii="Times New Roman" w:hAnsi="Times New Roman" w:cs="Arial"/>
        </w:rPr>
        <w:t>Tasa  Global de Cobertura Neta</w:t>
      </w:r>
      <w:r w:rsidR="00714F0E" w:rsidRPr="00714F0E">
        <w:rPr>
          <w:rFonts w:ascii="Times New Roman" w:hAnsi="Times New Roman" w:cs="Arial"/>
        </w:rPr>
        <w:t xml:space="preserve">. </w:t>
      </w:r>
      <w:r w:rsidR="00CD58DA" w:rsidRPr="00CD58DA">
        <w:rPr>
          <w:rFonts w:ascii="Times New Roman" w:hAnsi="Times New Roman"/>
          <w:lang w:val="es-ES" w:eastAsia="es-ES"/>
        </w:rPr>
        <w:t>En 2011, se logró una tasa de cobertura neta</w:t>
      </w:r>
      <w:r w:rsidR="0061252D" w:rsidRPr="00714F0E">
        <w:rPr>
          <w:rStyle w:val="Refdenotaalpie"/>
          <w:rFonts w:ascii="Times New Roman" w:hAnsi="Times New Roman"/>
          <w:szCs w:val="22"/>
          <w:lang w:val="es-ES" w:eastAsia="es-ES"/>
        </w:rPr>
        <w:footnoteReference w:id="62"/>
      </w:r>
      <w:r w:rsidR="00CD58DA" w:rsidRPr="00CD58DA">
        <w:rPr>
          <w:rFonts w:ascii="Times New Roman" w:hAnsi="Times New Roman"/>
          <w:lang w:val="es-ES" w:eastAsia="es-ES"/>
        </w:rPr>
        <w:t>ajustada global de 94,2 %, lo cual indica que de cada 100 niños, 94 se encuentran en el grado correspondien</w:t>
      </w:r>
      <w:r w:rsidR="008F5DDF">
        <w:rPr>
          <w:rFonts w:ascii="Times New Roman" w:hAnsi="Times New Roman"/>
          <w:lang w:val="es-ES" w:eastAsia="es-ES"/>
        </w:rPr>
        <w:t>te a su edad, pero disminuyó en relación con</w:t>
      </w:r>
      <w:r w:rsidR="00CD58DA" w:rsidRPr="00CD58DA">
        <w:rPr>
          <w:rFonts w:ascii="Times New Roman" w:hAnsi="Times New Roman"/>
          <w:lang w:val="es-ES" w:eastAsia="es-ES"/>
        </w:rPr>
        <w:t xml:space="preserve"> 2008 cuando era de 96,5%.</w:t>
      </w:r>
      <w:r w:rsidRPr="00714F0E">
        <w:rPr>
          <w:rStyle w:val="Refdenotaalpie"/>
          <w:rFonts w:ascii="Times New Roman" w:hAnsi="Times New Roman"/>
          <w:szCs w:val="22"/>
          <w:lang w:val="es-ES" w:eastAsia="es-ES"/>
        </w:rPr>
        <w:footnoteReference w:id="63"/>
      </w:r>
    </w:p>
    <w:p w:rsidR="005A5B0C" w:rsidRPr="00BA20B4" w:rsidRDefault="005A5B0C" w:rsidP="005A5B0C">
      <w:pPr>
        <w:pStyle w:val="Textoindependiente"/>
        <w:spacing w:after="0"/>
        <w:jc w:val="both"/>
        <w:rPr>
          <w:rFonts w:ascii="Times New Roman" w:hAnsi="Times New Roman" w:cs="Arial"/>
          <w:b/>
        </w:rPr>
      </w:pPr>
    </w:p>
    <w:p w:rsidR="005A5B0C" w:rsidRPr="00BA20B4" w:rsidRDefault="005A5B0C" w:rsidP="005A5B0C">
      <w:pPr>
        <w:pStyle w:val="Default"/>
        <w:jc w:val="both"/>
        <w:rPr>
          <w:rFonts w:ascii="Times New Roman" w:hAnsi="Times New Roman"/>
          <w:sz w:val="18"/>
          <w:szCs w:val="18"/>
        </w:rPr>
      </w:pPr>
    </w:p>
    <w:p w:rsidR="005A5B0C" w:rsidRPr="00F719B3" w:rsidRDefault="00E8193D" w:rsidP="00F719B3">
      <w:pPr>
        <w:pStyle w:val="Default"/>
        <w:jc w:val="center"/>
        <w:rPr>
          <w:rFonts w:ascii="Times New Roman" w:hAnsi="Times New Roman"/>
          <w:b/>
          <w:sz w:val="22"/>
          <w:szCs w:val="18"/>
        </w:rPr>
      </w:pPr>
      <w:r>
        <w:rPr>
          <w:rFonts w:ascii="Times New Roman" w:hAnsi="Times New Roman"/>
          <w:b/>
          <w:sz w:val="22"/>
          <w:szCs w:val="18"/>
        </w:rPr>
        <w:t>Tabla 6</w:t>
      </w:r>
      <w:r w:rsidR="00F719B3" w:rsidRPr="00F719B3">
        <w:rPr>
          <w:rFonts w:ascii="Times New Roman" w:hAnsi="Times New Roman"/>
          <w:b/>
          <w:sz w:val="22"/>
          <w:szCs w:val="18"/>
        </w:rPr>
        <w:t xml:space="preserve">. </w:t>
      </w:r>
      <w:r w:rsidR="005A5B0C" w:rsidRPr="00F719B3">
        <w:rPr>
          <w:rFonts w:ascii="Times New Roman" w:hAnsi="Times New Roman"/>
          <w:b/>
          <w:sz w:val="22"/>
          <w:szCs w:val="18"/>
        </w:rPr>
        <w:t>Tasas de Cobertura Neta Ajustadas según nivel, usando rangos de edad del MEN</w:t>
      </w:r>
    </w:p>
    <w:p w:rsidR="005A5B0C" w:rsidRPr="00F719B3" w:rsidRDefault="005A5B0C" w:rsidP="00F719B3">
      <w:pPr>
        <w:pStyle w:val="Default"/>
        <w:jc w:val="center"/>
        <w:rPr>
          <w:rFonts w:ascii="Times New Roman" w:hAnsi="Times New Roman"/>
          <w:b/>
          <w:sz w:val="22"/>
          <w:szCs w:val="18"/>
        </w:rPr>
      </w:pPr>
      <w:r w:rsidRPr="00F719B3">
        <w:rPr>
          <w:rFonts w:ascii="Times New Roman" w:hAnsi="Times New Roman"/>
          <w:b/>
          <w:sz w:val="22"/>
          <w:szCs w:val="18"/>
        </w:rPr>
        <w:t>Período 2008-2011</w:t>
      </w:r>
    </w:p>
    <w:tbl>
      <w:tblPr>
        <w:tblW w:w="0" w:type="auto"/>
        <w:tblLook w:val="00A0" w:firstRow="1" w:lastRow="0" w:firstColumn="1" w:lastColumn="0" w:noHBand="0" w:noVBand="0"/>
      </w:tblPr>
      <w:tblGrid>
        <w:gridCol w:w="2943"/>
        <w:gridCol w:w="1701"/>
        <w:gridCol w:w="993"/>
        <w:gridCol w:w="1275"/>
        <w:gridCol w:w="993"/>
        <w:gridCol w:w="1073"/>
      </w:tblGrid>
      <w:tr w:rsidR="005A5B0C" w:rsidRPr="00BA20B4">
        <w:tc>
          <w:tcPr>
            <w:tcW w:w="2943" w:type="dxa"/>
            <w:shd w:val="clear" w:color="auto" w:fill="C0C0C0"/>
          </w:tcPr>
          <w:p w:rsidR="005A5B0C" w:rsidRPr="00BA20B4" w:rsidRDefault="005A5B0C" w:rsidP="00DD40EE">
            <w:pPr>
              <w:jc w:val="both"/>
              <w:rPr>
                <w:rFonts w:ascii="Times New Roman" w:hAnsi="Times New Roman"/>
              </w:rPr>
            </w:pPr>
            <w:r w:rsidRPr="00BA20B4">
              <w:rPr>
                <w:rFonts w:ascii="Times New Roman" w:hAnsi="Times New Roman"/>
              </w:rPr>
              <w:t>Nivel</w:t>
            </w:r>
          </w:p>
        </w:tc>
        <w:tc>
          <w:tcPr>
            <w:tcW w:w="1701" w:type="dxa"/>
            <w:shd w:val="clear" w:color="auto" w:fill="C0C0C0"/>
          </w:tcPr>
          <w:p w:rsidR="005A5B0C" w:rsidRPr="00BA20B4" w:rsidRDefault="005A5B0C" w:rsidP="00DD40EE">
            <w:pPr>
              <w:jc w:val="both"/>
              <w:rPr>
                <w:rFonts w:ascii="Times New Roman" w:hAnsi="Times New Roman"/>
              </w:rPr>
            </w:pPr>
            <w:r w:rsidRPr="00BA20B4">
              <w:rPr>
                <w:rFonts w:ascii="Times New Roman" w:hAnsi="Times New Roman"/>
              </w:rPr>
              <w:t>PEE- DANE</w:t>
            </w:r>
          </w:p>
        </w:tc>
        <w:tc>
          <w:tcPr>
            <w:tcW w:w="993" w:type="dxa"/>
            <w:shd w:val="clear" w:color="auto" w:fill="C0C0C0"/>
          </w:tcPr>
          <w:p w:rsidR="005A5B0C" w:rsidRPr="00BA20B4" w:rsidRDefault="005A5B0C" w:rsidP="00DD40EE">
            <w:pPr>
              <w:jc w:val="right"/>
              <w:rPr>
                <w:rFonts w:ascii="Times New Roman" w:hAnsi="Times New Roman"/>
              </w:rPr>
            </w:pPr>
            <w:r w:rsidRPr="00BA20B4">
              <w:rPr>
                <w:rFonts w:ascii="Times New Roman" w:hAnsi="Times New Roman"/>
              </w:rPr>
              <w:t>2008</w:t>
            </w:r>
          </w:p>
        </w:tc>
        <w:tc>
          <w:tcPr>
            <w:tcW w:w="1275" w:type="dxa"/>
            <w:shd w:val="clear" w:color="auto" w:fill="C0C0C0"/>
          </w:tcPr>
          <w:p w:rsidR="005A5B0C" w:rsidRPr="00BA20B4" w:rsidRDefault="005A5B0C" w:rsidP="00DD40EE">
            <w:pPr>
              <w:jc w:val="right"/>
              <w:rPr>
                <w:rFonts w:ascii="Times New Roman" w:hAnsi="Times New Roman"/>
              </w:rPr>
            </w:pPr>
            <w:r w:rsidRPr="00BA20B4">
              <w:rPr>
                <w:rFonts w:ascii="Times New Roman" w:hAnsi="Times New Roman"/>
              </w:rPr>
              <w:t>2009</w:t>
            </w:r>
          </w:p>
        </w:tc>
        <w:tc>
          <w:tcPr>
            <w:tcW w:w="993" w:type="dxa"/>
            <w:shd w:val="clear" w:color="auto" w:fill="C0C0C0"/>
          </w:tcPr>
          <w:p w:rsidR="005A5B0C" w:rsidRPr="00BA20B4" w:rsidRDefault="005A5B0C" w:rsidP="00DD40EE">
            <w:pPr>
              <w:jc w:val="right"/>
              <w:rPr>
                <w:rFonts w:ascii="Times New Roman" w:hAnsi="Times New Roman"/>
              </w:rPr>
            </w:pPr>
            <w:r w:rsidRPr="00BA20B4">
              <w:rPr>
                <w:rFonts w:ascii="Times New Roman" w:hAnsi="Times New Roman"/>
              </w:rPr>
              <w:t>2010</w:t>
            </w:r>
          </w:p>
        </w:tc>
        <w:tc>
          <w:tcPr>
            <w:tcW w:w="1073" w:type="dxa"/>
            <w:shd w:val="clear" w:color="auto" w:fill="C0C0C0"/>
          </w:tcPr>
          <w:p w:rsidR="005A5B0C" w:rsidRPr="00BA20B4" w:rsidRDefault="005A5B0C" w:rsidP="00DD40EE">
            <w:pPr>
              <w:jc w:val="right"/>
              <w:rPr>
                <w:rFonts w:ascii="Times New Roman" w:hAnsi="Times New Roman"/>
              </w:rPr>
            </w:pPr>
            <w:r w:rsidRPr="00BA20B4">
              <w:rPr>
                <w:rFonts w:ascii="Times New Roman" w:hAnsi="Times New Roman"/>
              </w:rPr>
              <w:t>2011</w:t>
            </w:r>
          </w:p>
        </w:tc>
      </w:tr>
      <w:tr w:rsidR="005A5B0C" w:rsidRPr="00BA20B4">
        <w:tc>
          <w:tcPr>
            <w:tcW w:w="2943" w:type="dxa"/>
          </w:tcPr>
          <w:p w:rsidR="005A5B0C" w:rsidRPr="00BA20B4" w:rsidRDefault="005A5B0C" w:rsidP="00DD40EE">
            <w:pPr>
              <w:jc w:val="both"/>
              <w:rPr>
                <w:rFonts w:ascii="Times New Roman" w:hAnsi="Times New Roman"/>
              </w:rPr>
            </w:pPr>
            <w:r w:rsidRPr="00BA20B4">
              <w:rPr>
                <w:rFonts w:ascii="Times New Roman" w:hAnsi="Times New Roman"/>
              </w:rPr>
              <w:t>Preescolar (Transición)</w:t>
            </w:r>
          </w:p>
        </w:tc>
        <w:tc>
          <w:tcPr>
            <w:tcW w:w="1701" w:type="dxa"/>
          </w:tcPr>
          <w:p w:rsidR="005A5B0C" w:rsidRPr="00BA20B4" w:rsidRDefault="005A5B0C" w:rsidP="00DD40EE">
            <w:pPr>
              <w:jc w:val="right"/>
              <w:rPr>
                <w:rFonts w:ascii="Times New Roman" w:hAnsi="Times New Roman"/>
              </w:rPr>
            </w:pPr>
            <w:r w:rsidRPr="00BA20B4">
              <w:rPr>
                <w:rFonts w:ascii="Times New Roman" w:hAnsi="Times New Roman"/>
              </w:rPr>
              <w:t>5 años</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86,0</w:t>
            </w:r>
          </w:p>
        </w:tc>
        <w:tc>
          <w:tcPr>
            <w:tcW w:w="1275" w:type="dxa"/>
          </w:tcPr>
          <w:p w:rsidR="005A5B0C" w:rsidRPr="00BA20B4" w:rsidRDefault="005A5B0C" w:rsidP="00DD40EE">
            <w:pPr>
              <w:jc w:val="right"/>
              <w:rPr>
                <w:rFonts w:ascii="Times New Roman" w:hAnsi="Times New Roman"/>
              </w:rPr>
            </w:pPr>
            <w:r w:rsidRPr="00BA20B4">
              <w:rPr>
                <w:rFonts w:ascii="Times New Roman" w:hAnsi="Times New Roman"/>
              </w:rPr>
              <w:t>85,6</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83,2</w:t>
            </w:r>
          </w:p>
        </w:tc>
        <w:tc>
          <w:tcPr>
            <w:tcW w:w="1073" w:type="dxa"/>
          </w:tcPr>
          <w:p w:rsidR="005A5B0C" w:rsidRPr="00BA20B4" w:rsidRDefault="005A5B0C" w:rsidP="00DD40EE">
            <w:pPr>
              <w:jc w:val="right"/>
              <w:rPr>
                <w:rFonts w:ascii="Times New Roman" w:hAnsi="Times New Roman"/>
              </w:rPr>
            </w:pPr>
            <w:r w:rsidRPr="00BA20B4">
              <w:rPr>
                <w:rFonts w:ascii="Times New Roman" w:hAnsi="Times New Roman"/>
              </w:rPr>
              <w:t>77,9</w:t>
            </w:r>
          </w:p>
        </w:tc>
      </w:tr>
      <w:tr w:rsidR="005A5B0C" w:rsidRPr="00BA20B4">
        <w:tc>
          <w:tcPr>
            <w:tcW w:w="2943" w:type="dxa"/>
          </w:tcPr>
          <w:p w:rsidR="005A5B0C" w:rsidRPr="00BA20B4" w:rsidRDefault="005A5B0C" w:rsidP="00DD40EE">
            <w:pPr>
              <w:jc w:val="both"/>
              <w:rPr>
                <w:rFonts w:ascii="Times New Roman" w:hAnsi="Times New Roman"/>
              </w:rPr>
            </w:pPr>
            <w:r w:rsidRPr="00BA20B4">
              <w:rPr>
                <w:rFonts w:ascii="Times New Roman" w:hAnsi="Times New Roman"/>
              </w:rPr>
              <w:t>Primaria</w:t>
            </w:r>
          </w:p>
        </w:tc>
        <w:tc>
          <w:tcPr>
            <w:tcW w:w="1701" w:type="dxa"/>
          </w:tcPr>
          <w:p w:rsidR="005A5B0C" w:rsidRPr="00BA20B4" w:rsidRDefault="005A5B0C" w:rsidP="00DD40EE">
            <w:pPr>
              <w:jc w:val="right"/>
              <w:rPr>
                <w:rFonts w:ascii="Times New Roman" w:hAnsi="Times New Roman"/>
              </w:rPr>
            </w:pPr>
            <w:r w:rsidRPr="00BA20B4">
              <w:rPr>
                <w:rFonts w:ascii="Times New Roman" w:hAnsi="Times New Roman"/>
              </w:rPr>
              <w:t>6-10 años</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103,9</w:t>
            </w:r>
          </w:p>
        </w:tc>
        <w:tc>
          <w:tcPr>
            <w:tcW w:w="1275" w:type="dxa"/>
          </w:tcPr>
          <w:p w:rsidR="005A5B0C" w:rsidRPr="00BA20B4" w:rsidRDefault="005A5B0C" w:rsidP="00DD40EE">
            <w:pPr>
              <w:jc w:val="right"/>
              <w:rPr>
                <w:rFonts w:ascii="Times New Roman" w:hAnsi="Times New Roman"/>
              </w:rPr>
            </w:pPr>
            <w:r w:rsidRPr="00BA20B4">
              <w:rPr>
                <w:rFonts w:ascii="Times New Roman" w:hAnsi="Times New Roman"/>
              </w:rPr>
              <w:t>104,1</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100,8</w:t>
            </w:r>
          </w:p>
        </w:tc>
        <w:tc>
          <w:tcPr>
            <w:tcW w:w="1073" w:type="dxa"/>
          </w:tcPr>
          <w:p w:rsidR="005A5B0C" w:rsidRPr="00BA20B4" w:rsidRDefault="005A5B0C" w:rsidP="00DD40EE">
            <w:pPr>
              <w:jc w:val="right"/>
              <w:rPr>
                <w:rFonts w:ascii="Times New Roman" w:hAnsi="Times New Roman"/>
              </w:rPr>
            </w:pPr>
            <w:r w:rsidRPr="00BA20B4">
              <w:rPr>
                <w:rFonts w:ascii="Times New Roman" w:hAnsi="Times New Roman"/>
              </w:rPr>
              <w:t>93,7</w:t>
            </w:r>
          </w:p>
        </w:tc>
      </w:tr>
      <w:tr w:rsidR="005A5B0C" w:rsidRPr="00BA20B4">
        <w:tc>
          <w:tcPr>
            <w:tcW w:w="2943" w:type="dxa"/>
          </w:tcPr>
          <w:p w:rsidR="005A5B0C" w:rsidRPr="00BA20B4" w:rsidRDefault="005A5B0C" w:rsidP="00DD40EE">
            <w:pPr>
              <w:jc w:val="both"/>
              <w:rPr>
                <w:rFonts w:ascii="Times New Roman" w:hAnsi="Times New Roman"/>
              </w:rPr>
            </w:pPr>
            <w:r w:rsidRPr="00BA20B4">
              <w:rPr>
                <w:rFonts w:ascii="Times New Roman" w:hAnsi="Times New Roman"/>
              </w:rPr>
              <w:t>Secundaria</w:t>
            </w:r>
          </w:p>
        </w:tc>
        <w:tc>
          <w:tcPr>
            <w:tcW w:w="1701" w:type="dxa"/>
          </w:tcPr>
          <w:p w:rsidR="005A5B0C" w:rsidRPr="00BA20B4" w:rsidRDefault="005A5B0C" w:rsidP="00DD40EE">
            <w:pPr>
              <w:jc w:val="right"/>
              <w:rPr>
                <w:rFonts w:ascii="Times New Roman" w:hAnsi="Times New Roman"/>
              </w:rPr>
            </w:pPr>
            <w:r w:rsidRPr="00BA20B4">
              <w:rPr>
                <w:rFonts w:ascii="Times New Roman" w:hAnsi="Times New Roman"/>
              </w:rPr>
              <w:t>11-14 años</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90,6</w:t>
            </w:r>
          </w:p>
        </w:tc>
        <w:tc>
          <w:tcPr>
            <w:tcW w:w="1275" w:type="dxa"/>
          </w:tcPr>
          <w:p w:rsidR="005A5B0C" w:rsidRPr="00BA20B4" w:rsidRDefault="005A5B0C" w:rsidP="00DD40EE">
            <w:pPr>
              <w:jc w:val="right"/>
              <w:rPr>
                <w:rFonts w:ascii="Times New Roman" w:hAnsi="Times New Roman"/>
              </w:rPr>
            </w:pPr>
            <w:r w:rsidRPr="00BA20B4">
              <w:rPr>
                <w:rFonts w:ascii="Times New Roman" w:hAnsi="Times New Roman"/>
              </w:rPr>
              <w:t>92,1</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91,3</w:t>
            </w:r>
          </w:p>
        </w:tc>
        <w:tc>
          <w:tcPr>
            <w:tcW w:w="1073" w:type="dxa"/>
          </w:tcPr>
          <w:p w:rsidR="005A5B0C" w:rsidRPr="00BA20B4" w:rsidRDefault="005A5B0C" w:rsidP="00DD40EE">
            <w:pPr>
              <w:jc w:val="right"/>
              <w:rPr>
                <w:rFonts w:ascii="Times New Roman" w:hAnsi="Times New Roman"/>
              </w:rPr>
            </w:pPr>
            <w:r w:rsidRPr="00BA20B4">
              <w:rPr>
                <w:rFonts w:ascii="Times New Roman" w:hAnsi="Times New Roman"/>
              </w:rPr>
              <w:t>88,8</w:t>
            </w:r>
          </w:p>
        </w:tc>
      </w:tr>
      <w:tr w:rsidR="005A5B0C" w:rsidRPr="00BA20B4">
        <w:tc>
          <w:tcPr>
            <w:tcW w:w="2943" w:type="dxa"/>
          </w:tcPr>
          <w:p w:rsidR="005A5B0C" w:rsidRPr="00BA20B4" w:rsidRDefault="005A5B0C" w:rsidP="00DD40EE">
            <w:pPr>
              <w:jc w:val="both"/>
              <w:rPr>
                <w:rFonts w:ascii="Times New Roman" w:hAnsi="Times New Roman"/>
              </w:rPr>
            </w:pPr>
            <w:r w:rsidRPr="00BA20B4">
              <w:rPr>
                <w:rFonts w:ascii="Times New Roman" w:hAnsi="Times New Roman"/>
              </w:rPr>
              <w:t>Media</w:t>
            </w:r>
          </w:p>
        </w:tc>
        <w:tc>
          <w:tcPr>
            <w:tcW w:w="1701" w:type="dxa"/>
          </w:tcPr>
          <w:p w:rsidR="005A5B0C" w:rsidRPr="00BA20B4" w:rsidRDefault="005A5B0C" w:rsidP="00DD40EE">
            <w:pPr>
              <w:jc w:val="right"/>
              <w:rPr>
                <w:rFonts w:ascii="Times New Roman" w:hAnsi="Times New Roman"/>
              </w:rPr>
            </w:pPr>
            <w:r w:rsidRPr="00BA20B4">
              <w:rPr>
                <w:rFonts w:ascii="Times New Roman" w:hAnsi="Times New Roman"/>
              </w:rPr>
              <w:t>15-16 años</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62,1</w:t>
            </w:r>
          </w:p>
        </w:tc>
        <w:tc>
          <w:tcPr>
            <w:tcW w:w="1275" w:type="dxa"/>
          </w:tcPr>
          <w:p w:rsidR="005A5B0C" w:rsidRPr="00BA20B4" w:rsidRDefault="005A5B0C" w:rsidP="00DD40EE">
            <w:pPr>
              <w:jc w:val="right"/>
              <w:rPr>
                <w:rFonts w:ascii="Times New Roman" w:hAnsi="Times New Roman"/>
              </w:rPr>
            </w:pPr>
            <w:r w:rsidRPr="00BA20B4">
              <w:rPr>
                <w:rFonts w:ascii="Times New Roman" w:hAnsi="Times New Roman"/>
              </w:rPr>
              <w:t>61,9</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58,1</w:t>
            </w:r>
          </w:p>
        </w:tc>
        <w:tc>
          <w:tcPr>
            <w:tcW w:w="1073" w:type="dxa"/>
          </w:tcPr>
          <w:p w:rsidR="005A5B0C" w:rsidRPr="00BA20B4" w:rsidRDefault="005A5B0C" w:rsidP="00DD40EE">
            <w:pPr>
              <w:jc w:val="right"/>
              <w:rPr>
                <w:rFonts w:ascii="Times New Roman" w:hAnsi="Times New Roman"/>
              </w:rPr>
            </w:pPr>
            <w:r w:rsidRPr="00BA20B4">
              <w:rPr>
                <w:rFonts w:ascii="Times New Roman" w:hAnsi="Times New Roman"/>
              </w:rPr>
              <w:t>58,2</w:t>
            </w:r>
          </w:p>
        </w:tc>
      </w:tr>
      <w:tr w:rsidR="005A5B0C" w:rsidRPr="00BA20B4">
        <w:tc>
          <w:tcPr>
            <w:tcW w:w="2943" w:type="dxa"/>
          </w:tcPr>
          <w:p w:rsidR="005A5B0C" w:rsidRPr="00BA20B4" w:rsidRDefault="005A5B0C" w:rsidP="00DD40EE">
            <w:pPr>
              <w:jc w:val="both"/>
              <w:rPr>
                <w:rFonts w:ascii="Times New Roman" w:hAnsi="Times New Roman"/>
              </w:rPr>
            </w:pPr>
            <w:r w:rsidRPr="00BA20B4">
              <w:rPr>
                <w:rFonts w:ascii="Times New Roman" w:hAnsi="Times New Roman"/>
              </w:rPr>
              <w:t>Total</w:t>
            </w:r>
          </w:p>
        </w:tc>
        <w:tc>
          <w:tcPr>
            <w:tcW w:w="1701" w:type="dxa"/>
          </w:tcPr>
          <w:p w:rsidR="005A5B0C" w:rsidRPr="00BA20B4" w:rsidRDefault="005A5B0C" w:rsidP="00DD40EE">
            <w:pPr>
              <w:jc w:val="right"/>
              <w:rPr>
                <w:rFonts w:ascii="Times New Roman" w:hAnsi="Times New Roman"/>
              </w:rPr>
            </w:pPr>
            <w:r w:rsidRPr="00BA20B4">
              <w:rPr>
                <w:rFonts w:ascii="Times New Roman" w:hAnsi="Times New Roman"/>
              </w:rPr>
              <w:t>5-16 años</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96,5</w:t>
            </w:r>
          </w:p>
        </w:tc>
        <w:tc>
          <w:tcPr>
            <w:tcW w:w="1275" w:type="dxa"/>
          </w:tcPr>
          <w:p w:rsidR="005A5B0C" w:rsidRPr="00BA20B4" w:rsidRDefault="005A5B0C" w:rsidP="00DD40EE">
            <w:pPr>
              <w:jc w:val="right"/>
              <w:rPr>
                <w:rFonts w:ascii="Times New Roman" w:hAnsi="Times New Roman"/>
              </w:rPr>
            </w:pPr>
            <w:r w:rsidRPr="00BA20B4">
              <w:rPr>
                <w:rFonts w:ascii="Times New Roman" w:hAnsi="Times New Roman"/>
              </w:rPr>
              <w:t>96,9</w:t>
            </w:r>
          </w:p>
        </w:tc>
        <w:tc>
          <w:tcPr>
            <w:tcW w:w="993" w:type="dxa"/>
          </w:tcPr>
          <w:p w:rsidR="005A5B0C" w:rsidRPr="00BA20B4" w:rsidRDefault="005A5B0C" w:rsidP="00DD40EE">
            <w:pPr>
              <w:jc w:val="right"/>
              <w:rPr>
                <w:rFonts w:ascii="Times New Roman" w:hAnsi="Times New Roman"/>
              </w:rPr>
            </w:pPr>
            <w:r w:rsidRPr="00BA20B4">
              <w:rPr>
                <w:rFonts w:ascii="Times New Roman" w:hAnsi="Times New Roman"/>
              </w:rPr>
              <w:t>95,7</w:t>
            </w:r>
          </w:p>
        </w:tc>
        <w:tc>
          <w:tcPr>
            <w:tcW w:w="1073" w:type="dxa"/>
          </w:tcPr>
          <w:p w:rsidR="005A5B0C" w:rsidRPr="00BA20B4" w:rsidRDefault="005A5B0C" w:rsidP="00DD40EE">
            <w:pPr>
              <w:jc w:val="right"/>
              <w:rPr>
                <w:rFonts w:ascii="Times New Roman" w:hAnsi="Times New Roman"/>
              </w:rPr>
            </w:pPr>
            <w:r w:rsidRPr="00BA20B4">
              <w:rPr>
                <w:rFonts w:ascii="Times New Roman" w:hAnsi="Times New Roman"/>
              </w:rPr>
              <w:t>94,2</w:t>
            </w:r>
          </w:p>
        </w:tc>
      </w:tr>
      <w:tr w:rsidR="005A5B0C" w:rsidRPr="00BA20B4">
        <w:tc>
          <w:tcPr>
            <w:tcW w:w="2943" w:type="dxa"/>
            <w:shd w:val="clear" w:color="auto" w:fill="CCCCCC"/>
          </w:tcPr>
          <w:p w:rsidR="005A5B0C" w:rsidRPr="00BA20B4" w:rsidRDefault="005A5B0C" w:rsidP="00DD40EE">
            <w:pPr>
              <w:jc w:val="both"/>
              <w:rPr>
                <w:rFonts w:ascii="Times New Roman" w:hAnsi="Times New Roman"/>
              </w:rPr>
            </w:pPr>
            <w:r w:rsidRPr="00BA20B4">
              <w:rPr>
                <w:rFonts w:ascii="Times New Roman" w:hAnsi="Times New Roman"/>
              </w:rPr>
              <w:t>Secundaria y media</w:t>
            </w:r>
          </w:p>
        </w:tc>
        <w:tc>
          <w:tcPr>
            <w:tcW w:w="1701" w:type="dxa"/>
            <w:shd w:val="clear" w:color="auto" w:fill="CCCCCC"/>
          </w:tcPr>
          <w:p w:rsidR="005A5B0C" w:rsidRPr="00BA20B4" w:rsidRDefault="005A5B0C" w:rsidP="00DD40EE">
            <w:pPr>
              <w:jc w:val="right"/>
              <w:rPr>
                <w:rFonts w:ascii="Times New Roman" w:hAnsi="Times New Roman"/>
              </w:rPr>
            </w:pPr>
            <w:r w:rsidRPr="00BA20B4">
              <w:rPr>
                <w:rFonts w:ascii="Times New Roman" w:hAnsi="Times New Roman"/>
              </w:rPr>
              <w:t>11-16 años</w:t>
            </w:r>
          </w:p>
        </w:tc>
        <w:tc>
          <w:tcPr>
            <w:tcW w:w="993" w:type="dxa"/>
            <w:shd w:val="clear" w:color="auto" w:fill="CCCCCC"/>
          </w:tcPr>
          <w:p w:rsidR="005A5B0C" w:rsidRPr="00BA20B4" w:rsidRDefault="005A5B0C" w:rsidP="00DD40EE">
            <w:pPr>
              <w:jc w:val="right"/>
              <w:rPr>
                <w:rFonts w:ascii="Times New Roman" w:hAnsi="Times New Roman"/>
              </w:rPr>
            </w:pPr>
            <w:r w:rsidRPr="00BA20B4">
              <w:rPr>
                <w:rFonts w:ascii="Times New Roman" w:hAnsi="Times New Roman"/>
              </w:rPr>
              <w:t>82,0</w:t>
            </w:r>
          </w:p>
        </w:tc>
        <w:tc>
          <w:tcPr>
            <w:tcW w:w="1275" w:type="dxa"/>
            <w:shd w:val="clear" w:color="auto" w:fill="CCCCCC"/>
          </w:tcPr>
          <w:p w:rsidR="005A5B0C" w:rsidRPr="00BA20B4" w:rsidRDefault="005A5B0C" w:rsidP="00DD40EE">
            <w:pPr>
              <w:jc w:val="right"/>
              <w:rPr>
                <w:rFonts w:ascii="Times New Roman" w:hAnsi="Times New Roman"/>
              </w:rPr>
            </w:pPr>
            <w:r w:rsidRPr="00BA20B4">
              <w:rPr>
                <w:rFonts w:ascii="Times New Roman" w:hAnsi="Times New Roman"/>
              </w:rPr>
              <w:t>82,6</w:t>
            </w:r>
          </w:p>
        </w:tc>
        <w:tc>
          <w:tcPr>
            <w:tcW w:w="993" w:type="dxa"/>
            <w:shd w:val="clear" w:color="auto" w:fill="CCCCCC"/>
          </w:tcPr>
          <w:p w:rsidR="005A5B0C" w:rsidRPr="00BA20B4" w:rsidRDefault="005A5B0C" w:rsidP="00DD40EE">
            <w:pPr>
              <w:jc w:val="right"/>
              <w:rPr>
                <w:rFonts w:ascii="Times New Roman" w:hAnsi="Times New Roman"/>
              </w:rPr>
            </w:pPr>
            <w:r w:rsidRPr="00BA20B4">
              <w:rPr>
                <w:rFonts w:ascii="Times New Roman" w:hAnsi="Times New Roman"/>
              </w:rPr>
              <w:t>80,0</w:t>
            </w:r>
          </w:p>
        </w:tc>
        <w:tc>
          <w:tcPr>
            <w:tcW w:w="1073" w:type="dxa"/>
            <w:shd w:val="clear" w:color="auto" w:fill="CCCCCC"/>
          </w:tcPr>
          <w:p w:rsidR="005A5B0C" w:rsidRPr="00BA20B4" w:rsidRDefault="005A5B0C" w:rsidP="00DD40EE">
            <w:pPr>
              <w:jc w:val="right"/>
              <w:rPr>
                <w:rFonts w:ascii="Times New Roman" w:hAnsi="Times New Roman"/>
              </w:rPr>
            </w:pPr>
            <w:r w:rsidRPr="00BA20B4">
              <w:rPr>
                <w:rFonts w:ascii="Times New Roman" w:hAnsi="Times New Roman"/>
              </w:rPr>
              <w:t>78,3</w:t>
            </w:r>
          </w:p>
        </w:tc>
      </w:tr>
    </w:tbl>
    <w:p w:rsidR="005A5B0C" w:rsidRPr="00BA20B4" w:rsidRDefault="005A5B0C" w:rsidP="005A5B0C">
      <w:pPr>
        <w:jc w:val="both"/>
        <w:rPr>
          <w:rFonts w:ascii="Times New Roman" w:hAnsi="Times New Roman"/>
          <w:sz w:val="18"/>
        </w:rPr>
      </w:pPr>
      <w:r w:rsidRPr="00BA20B4">
        <w:rPr>
          <w:rFonts w:ascii="Times New Roman" w:hAnsi="Times New Roman"/>
          <w:sz w:val="18"/>
        </w:rPr>
        <w:t>Fuente: Matrícula oficial: Sistema de Matrículas- Matrícula Privada: Censo C-600 imputada- Población: proyección DANE. Cálculo: SED- Oficina Asesora de Planeación- Grupo de Estadística.</w:t>
      </w:r>
    </w:p>
    <w:p w:rsidR="0061252D" w:rsidRPr="00BA20B4" w:rsidRDefault="0061252D" w:rsidP="005A5B0C">
      <w:pPr>
        <w:pStyle w:val="Default"/>
        <w:jc w:val="both"/>
        <w:rPr>
          <w:rFonts w:ascii="Times New Roman" w:hAnsi="Times New Roman"/>
          <w:color w:val="auto"/>
          <w:szCs w:val="22"/>
          <w:lang w:val="es-ES" w:eastAsia="es-ES"/>
        </w:rPr>
      </w:pPr>
    </w:p>
    <w:p w:rsidR="000450CF" w:rsidRDefault="005A5B0C" w:rsidP="005A5B0C">
      <w:pPr>
        <w:pStyle w:val="Default"/>
        <w:jc w:val="both"/>
        <w:rPr>
          <w:rFonts w:ascii="Times New Roman" w:hAnsi="Times New Roman"/>
          <w:color w:val="auto"/>
          <w:szCs w:val="22"/>
          <w:lang w:val="es-ES" w:eastAsia="es-ES"/>
        </w:rPr>
      </w:pPr>
      <w:r w:rsidRPr="00BA20B4">
        <w:rPr>
          <w:rFonts w:ascii="Times New Roman" w:hAnsi="Times New Roman"/>
          <w:color w:val="auto"/>
          <w:szCs w:val="22"/>
          <w:lang w:val="es-ES" w:eastAsia="es-ES"/>
        </w:rPr>
        <w:t>La educación media presenta</w:t>
      </w:r>
      <w:r w:rsidR="0061252D" w:rsidRPr="00BA20B4">
        <w:rPr>
          <w:rFonts w:ascii="Times New Roman" w:hAnsi="Times New Roman"/>
          <w:color w:val="auto"/>
          <w:szCs w:val="22"/>
          <w:lang w:val="es-ES" w:eastAsia="es-ES"/>
        </w:rPr>
        <w:t xml:space="preserve"> en 2011</w:t>
      </w:r>
      <w:r w:rsidRPr="00BA20B4">
        <w:rPr>
          <w:rFonts w:ascii="Times New Roman" w:hAnsi="Times New Roman"/>
          <w:color w:val="auto"/>
          <w:szCs w:val="22"/>
          <w:lang w:val="es-ES" w:eastAsia="es-ES"/>
        </w:rPr>
        <w:t xml:space="preserve"> la tasa de cobertura neta más baja, </w:t>
      </w:r>
      <w:r w:rsidR="0061252D" w:rsidRPr="00BA20B4">
        <w:rPr>
          <w:rFonts w:ascii="Times New Roman" w:hAnsi="Times New Roman"/>
          <w:color w:val="auto"/>
          <w:szCs w:val="22"/>
          <w:lang w:val="es-ES" w:eastAsia="es-ES"/>
        </w:rPr>
        <w:t xml:space="preserve">apenas </w:t>
      </w:r>
      <w:r w:rsidRPr="00BA20B4">
        <w:rPr>
          <w:rFonts w:ascii="Times New Roman" w:hAnsi="Times New Roman"/>
          <w:color w:val="auto"/>
          <w:szCs w:val="22"/>
          <w:lang w:val="es-ES" w:eastAsia="es-ES"/>
        </w:rPr>
        <w:t>58,2%</w:t>
      </w:r>
      <w:r w:rsidR="009F28AF">
        <w:rPr>
          <w:rFonts w:ascii="Times New Roman" w:hAnsi="Times New Roman"/>
          <w:color w:val="auto"/>
          <w:szCs w:val="22"/>
          <w:lang w:val="es-ES" w:eastAsia="es-ES"/>
        </w:rPr>
        <w:t xml:space="preserve"> y desciende en relación con</w:t>
      </w:r>
      <w:r w:rsidR="0061252D" w:rsidRPr="00BA20B4">
        <w:rPr>
          <w:rFonts w:ascii="Times New Roman" w:hAnsi="Times New Roman"/>
          <w:color w:val="auto"/>
          <w:szCs w:val="22"/>
          <w:lang w:val="es-ES" w:eastAsia="es-ES"/>
        </w:rPr>
        <w:t xml:space="preserve"> 2008</w:t>
      </w:r>
      <w:r w:rsidRPr="00BA20B4">
        <w:rPr>
          <w:rFonts w:ascii="Times New Roman" w:hAnsi="Times New Roman"/>
          <w:color w:val="auto"/>
          <w:szCs w:val="22"/>
          <w:lang w:val="es-ES" w:eastAsia="es-ES"/>
        </w:rPr>
        <w:t xml:space="preserve">. </w:t>
      </w:r>
      <w:r w:rsidR="0061252D" w:rsidRPr="00BA20B4">
        <w:rPr>
          <w:rFonts w:ascii="Times New Roman" w:hAnsi="Times New Roman"/>
          <w:color w:val="auto"/>
          <w:szCs w:val="22"/>
          <w:lang w:val="es-ES" w:eastAsia="es-ES"/>
        </w:rPr>
        <w:t>En el caso de educación preescolar disminuyó de 86% a 77,9%</w:t>
      </w:r>
      <w:r w:rsidR="00926594" w:rsidRPr="00BA20B4">
        <w:rPr>
          <w:rStyle w:val="Refdenotaalpie"/>
          <w:rFonts w:ascii="Times New Roman" w:hAnsi="Times New Roman"/>
          <w:color w:val="auto"/>
          <w:szCs w:val="22"/>
          <w:lang w:val="es-ES" w:eastAsia="es-ES"/>
        </w:rPr>
        <w:footnoteReference w:id="64"/>
      </w:r>
      <w:r w:rsidR="00926594" w:rsidRPr="00BA20B4">
        <w:rPr>
          <w:rFonts w:ascii="Times New Roman" w:hAnsi="Times New Roman"/>
          <w:color w:val="auto"/>
          <w:szCs w:val="22"/>
          <w:lang w:val="es-ES" w:eastAsia="es-ES"/>
        </w:rPr>
        <w:t>, pero también se redujo en educación primaria, donde en los años anteriores superaba el 100%, y en educación secundaria.</w:t>
      </w:r>
    </w:p>
    <w:p w:rsidR="000450CF" w:rsidRPr="00BA20B4" w:rsidRDefault="000450CF" w:rsidP="005A5B0C">
      <w:pPr>
        <w:pStyle w:val="Default"/>
        <w:jc w:val="both"/>
        <w:rPr>
          <w:rFonts w:ascii="Times New Roman" w:hAnsi="Times New Roman"/>
          <w:color w:val="auto"/>
          <w:szCs w:val="22"/>
          <w:lang w:val="es-ES" w:eastAsia="es-ES"/>
        </w:rPr>
      </w:pPr>
    </w:p>
    <w:p w:rsidR="00E8193D" w:rsidRDefault="00E8193D" w:rsidP="005A5B0C">
      <w:pPr>
        <w:jc w:val="center"/>
        <w:rPr>
          <w:rFonts w:ascii="Times New Roman" w:hAnsi="Times New Roman" w:cs="Arial"/>
          <w:b/>
          <w:sz w:val="22"/>
          <w:szCs w:val="15"/>
        </w:rPr>
      </w:pPr>
      <w:r>
        <w:rPr>
          <w:rFonts w:ascii="Times New Roman" w:hAnsi="Times New Roman" w:cs="Arial"/>
          <w:b/>
          <w:sz w:val="22"/>
          <w:szCs w:val="15"/>
        </w:rPr>
        <w:t>Gráfica 7</w:t>
      </w:r>
    </w:p>
    <w:p w:rsidR="005A5B0C" w:rsidRPr="00F719B3" w:rsidRDefault="005A5B0C" w:rsidP="005A5B0C">
      <w:pPr>
        <w:jc w:val="center"/>
        <w:rPr>
          <w:rFonts w:ascii="Times New Roman" w:hAnsi="Times New Roman" w:cs="Arial"/>
          <w:b/>
          <w:sz w:val="22"/>
          <w:szCs w:val="15"/>
        </w:rPr>
      </w:pPr>
      <w:r w:rsidRPr="00F719B3">
        <w:rPr>
          <w:rFonts w:ascii="Times New Roman" w:hAnsi="Times New Roman" w:cs="Arial"/>
          <w:b/>
          <w:sz w:val="22"/>
          <w:szCs w:val="15"/>
        </w:rPr>
        <w:t>Bogotá D.C., Tasa Global de Cobertura Neta</w:t>
      </w:r>
    </w:p>
    <w:p w:rsidR="005A5B0C" w:rsidRPr="00F719B3" w:rsidRDefault="005A5B0C" w:rsidP="005A5B0C">
      <w:pPr>
        <w:jc w:val="center"/>
        <w:rPr>
          <w:rFonts w:ascii="Times New Roman" w:hAnsi="Times New Roman" w:cs="Arial"/>
          <w:b/>
          <w:sz w:val="22"/>
          <w:szCs w:val="15"/>
        </w:rPr>
      </w:pPr>
      <w:r w:rsidRPr="00F719B3">
        <w:rPr>
          <w:rFonts w:ascii="Times New Roman" w:hAnsi="Times New Roman" w:cs="Arial"/>
          <w:b/>
          <w:sz w:val="22"/>
          <w:szCs w:val="15"/>
        </w:rPr>
        <w:t>2008-2011</w:t>
      </w:r>
    </w:p>
    <w:p w:rsidR="005A5B0C" w:rsidRPr="00BA20B4" w:rsidRDefault="005A5B0C" w:rsidP="005A5B0C">
      <w:pPr>
        <w:pStyle w:val="Default"/>
        <w:jc w:val="center"/>
        <w:rPr>
          <w:rFonts w:ascii="Times New Roman" w:hAnsi="Times New Roman"/>
          <w:color w:val="auto"/>
          <w:szCs w:val="22"/>
          <w:lang w:val="es-ES" w:eastAsia="es-ES"/>
        </w:rPr>
      </w:pPr>
      <w:r w:rsidRPr="00BA20B4">
        <w:rPr>
          <w:rFonts w:ascii="Times New Roman" w:hAnsi="Times New Roman"/>
          <w:noProof/>
          <w:color w:val="auto"/>
          <w:szCs w:val="22"/>
          <w:lang w:val="es-ES" w:eastAsia="es-ES"/>
        </w:rPr>
        <w:drawing>
          <wp:inline distT="0" distB="0" distL="0" distR="0">
            <wp:extent cx="2652589" cy="2051437"/>
            <wp:effectExtent l="19050" t="0" r="0" b="0"/>
            <wp:docPr id="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2652910" cy="2051685"/>
                    </a:xfrm>
                    <a:prstGeom prst="rect">
                      <a:avLst/>
                    </a:prstGeom>
                    <a:noFill/>
                    <a:ln w="9525">
                      <a:noFill/>
                      <a:miter lim="800000"/>
                      <a:headEnd/>
                      <a:tailEnd/>
                    </a:ln>
                  </pic:spPr>
                </pic:pic>
              </a:graphicData>
            </a:graphic>
          </wp:inline>
        </w:drawing>
      </w:r>
    </w:p>
    <w:p w:rsidR="005A5B0C" w:rsidRPr="00BA20B4" w:rsidRDefault="005A5B0C" w:rsidP="005A5B0C">
      <w:pPr>
        <w:pStyle w:val="Textoindependiente"/>
        <w:tabs>
          <w:tab w:val="num" w:pos="700"/>
        </w:tabs>
        <w:jc w:val="center"/>
        <w:rPr>
          <w:rFonts w:ascii="Times New Roman" w:hAnsi="Times New Roman" w:cs="Arial"/>
          <w:b/>
          <w:sz w:val="15"/>
          <w:szCs w:val="15"/>
        </w:rPr>
      </w:pPr>
      <w:r w:rsidRPr="00BA20B4">
        <w:rPr>
          <w:rFonts w:ascii="Times New Roman" w:hAnsi="Times New Roman" w:cs="Arial"/>
          <w:sz w:val="13"/>
          <w:szCs w:val="13"/>
        </w:rPr>
        <w:t>Fuente: Secretaría de Educación del Distrito</w:t>
      </w:r>
    </w:p>
    <w:p w:rsidR="000450CF" w:rsidRDefault="000450CF" w:rsidP="000450CF">
      <w:pPr>
        <w:autoSpaceDE w:val="0"/>
        <w:autoSpaceDN w:val="0"/>
        <w:adjustRightInd w:val="0"/>
        <w:jc w:val="both"/>
        <w:rPr>
          <w:rFonts w:ascii="Times New Roman" w:hAnsi="Times New Roman"/>
        </w:rPr>
      </w:pPr>
    </w:p>
    <w:p w:rsidR="004255D7" w:rsidRPr="00BA20B4" w:rsidRDefault="004255D7" w:rsidP="004255D7">
      <w:pPr>
        <w:autoSpaceDE w:val="0"/>
        <w:autoSpaceDN w:val="0"/>
        <w:adjustRightInd w:val="0"/>
        <w:jc w:val="both"/>
        <w:rPr>
          <w:rFonts w:ascii="Times New Roman" w:hAnsi="Times New Roman" w:cs="ArialMT"/>
          <w:lang w:eastAsia="es-CO"/>
        </w:rPr>
      </w:pPr>
      <w:bookmarkStart w:id="16" w:name="_Toc334449005"/>
      <w:r w:rsidRPr="00CE0179">
        <w:rPr>
          <w:rFonts w:ascii="Times New Roman" w:hAnsi="Times New Roman" w:cs="ArialMT"/>
          <w:lang w:eastAsia="es-CO"/>
        </w:rPr>
        <w:t xml:space="preserve">Entre 2004 y 2011 la matrícula disminuyó en Bogotá: pasó en </w:t>
      </w:r>
      <w:r w:rsidR="004F6267" w:rsidRPr="00CE0179">
        <w:rPr>
          <w:rFonts w:ascii="Times New Roman" w:hAnsi="Times New Roman" w:cs="ArialMT"/>
          <w:lang w:eastAsia="es-CO"/>
        </w:rPr>
        <w:t>total de 1.568.379 estudiantes a 1.563.093, de preescolar a media, una disminución absoluta de 5.286</w:t>
      </w:r>
      <w:r w:rsidR="000A101E">
        <w:rPr>
          <w:rFonts w:ascii="Times New Roman" w:hAnsi="Times New Roman" w:cs="ArialMT"/>
          <w:lang w:eastAsia="es-CO"/>
        </w:rPr>
        <w:t xml:space="preserve"> </w:t>
      </w:r>
      <w:r w:rsidR="000A101E">
        <w:rPr>
          <w:rFonts w:ascii="Times New Roman" w:hAnsi="Times New Roman" w:cs="ArialMT"/>
          <w:lang w:eastAsia="es-CO"/>
        </w:rPr>
        <w:lastRenderedPageBreak/>
        <w:t>estudiantes</w:t>
      </w:r>
      <w:r w:rsidR="000A101E">
        <w:rPr>
          <w:rStyle w:val="Refdenotaalpie"/>
          <w:rFonts w:ascii="Times New Roman" w:hAnsi="Times New Roman" w:cs="ArialMT"/>
          <w:lang w:eastAsia="es-CO"/>
        </w:rPr>
        <w:footnoteReference w:id="65"/>
      </w:r>
      <w:r w:rsidR="004F6267" w:rsidRPr="00CE0179">
        <w:rPr>
          <w:rFonts w:ascii="Times New Roman" w:hAnsi="Times New Roman" w:cs="ArialMT"/>
          <w:lang w:eastAsia="es-CO"/>
        </w:rPr>
        <w:t>. pero había lle</w:t>
      </w:r>
      <w:r w:rsidR="000D6DD3">
        <w:rPr>
          <w:rFonts w:ascii="Times New Roman" w:hAnsi="Times New Roman" w:cs="ArialMT"/>
          <w:lang w:eastAsia="es-CO"/>
        </w:rPr>
        <w:t>gado a ser de 1.614.090 en 2008</w:t>
      </w:r>
      <w:r w:rsidR="004F6267" w:rsidRPr="00CE0179">
        <w:rPr>
          <w:rFonts w:ascii="Times New Roman" w:hAnsi="Times New Roman" w:cs="ArialMT"/>
          <w:lang w:eastAsia="es-CO"/>
        </w:rPr>
        <w:t xml:space="preserve">. La población en edad escolar ha venido disminuyendo también, pasó de 1.632.418 </w:t>
      </w:r>
      <w:r w:rsidR="00BA75CE">
        <w:rPr>
          <w:rFonts w:ascii="Times New Roman" w:hAnsi="Times New Roman" w:cs="ArialMT"/>
          <w:lang w:eastAsia="es-CO"/>
        </w:rPr>
        <w:t xml:space="preserve">en 2008 a 1.611.374 en 2011. </w:t>
      </w:r>
      <w:r w:rsidR="00C30062" w:rsidRPr="00CE0179">
        <w:rPr>
          <w:rFonts w:ascii="Times New Roman" w:hAnsi="Times New Roman"/>
        </w:rPr>
        <w:t>Entre el 2004 y el 2011 la participación oficial en el total de la matrícula aumentó de 57,5% a 62,9%, aunque mostró una ligera disminución en el último año</w:t>
      </w:r>
    </w:p>
    <w:p w:rsidR="008555AA" w:rsidRDefault="008555AA" w:rsidP="000450CF">
      <w:pPr>
        <w:autoSpaceDE w:val="0"/>
        <w:autoSpaceDN w:val="0"/>
        <w:adjustRightInd w:val="0"/>
        <w:jc w:val="both"/>
        <w:rPr>
          <w:rFonts w:ascii="Times New Roman" w:hAnsi="Times New Roman"/>
        </w:rPr>
      </w:pPr>
    </w:p>
    <w:p w:rsidR="00DF611E" w:rsidRDefault="000450CF">
      <w:pPr>
        <w:autoSpaceDE w:val="0"/>
        <w:autoSpaceDN w:val="0"/>
        <w:adjustRightInd w:val="0"/>
        <w:jc w:val="both"/>
        <w:rPr>
          <w:rFonts w:ascii="Times New Roman" w:hAnsi="Times New Roman"/>
        </w:rPr>
      </w:pPr>
      <w:r>
        <w:rPr>
          <w:rFonts w:ascii="Times New Roman" w:hAnsi="Times New Roman"/>
        </w:rPr>
        <w:t xml:space="preserve">Tasas de deserción y de aprobación. En el año 2011, el 10% de los estudiantes en los colegios </w:t>
      </w:r>
      <w:r w:rsidR="002D1ACF" w:rsidRPr="00BA20B4">
        <w:rPr>
          <w:rFonts w:ascii="Times New Roman" w:hAnsi="Times New Roman"/>
        </w:rPr>
        <w:t>oficiales repr</w:t>
      </w:r>
      <w:r w:rsidR="002D1ACF">
        <w:rPr>
          <w:rFonts w:ascii="Times New Roman" w:hAnsi="Times New Roman"/>
        </w:rPr>
        <w:t>obó</w:t>
      </w:r>
      <w:r w:rsidR="002D1ACF" w:rsidRPr="00BA20B4">
        <w:rPr>
          <w:rFonts w:ascii="Times New Roman" w:hAnsi="Times New Roman"/>
        </w:rPr>
        <w:t xml:space="preserve"> el año en comparación con un 3,2% en los colegios privados lo que incide en los problemas de extra edad en los cursos</w:t>
      </w:r>
      <w:r w:rsidR="000D6DD3">
        <w:rPr>
          <w:rFonts w:ascii="Times New Roman" w:hAnsi="Times New Roman" w:cs="Arial"/>
        </w:rPr>
        <w:t>. En relación con</w:t>
      </w:r>
      <w:r w:rsidR="002D1ACF" w:rsidRPr="00BA20B4">
        <w:rPr>
          <w:rFonts w:ascii="Times New Roman" w:hAnsi="Times New Roman" w:cs="Arial"/>
        </w:rPr>
        <w:t xml:space="preserve"> la </w:t>
      </w:r>
      <w:r w:rsidR="002D1ACF" w:rsidRPr="00BA20B4">
        <w:rPr>
          <w:rFonts w:ascii="Times New Roman" w:hAnsi="Times New Roman" w:cs="Arial"/>
          <w:lang w:eastAsia="es-ES"/>
        </w:rPr>
        <w:t>tasa de deserción intra-anual en el 2009, Bogotá registró una tasa en el sector oficial de 3,7 y el sector privado de 1,4</w:t>
      </w:r>
      <w:r w:rsidR="002D1ACF" w:rsidRPr="00BA20B4">
        <w:rPr>
          <w:rStyle w:val="Refdenotaalpie"/>
          <w:rFonts w:ascii="Times New Roman" w:hAnsi="Times New Roman"/>
        </w:rPr>
        <w:footnoteReference w:id="66"/>
      </w:r>
      <w:r w:rsidR="00BA75CE">
        <w:rPr>
          <w:rFonts w:ascii="Times New Roman" w:hAnsi="Times New Roman" w:cs="Arial"/>
          <w:lang w:eastAsia="es-ES"/>
        </w:rPr>
        <w:t>. Para 2011</w:t>
      </w:r>
      <w:r w:rsidR="002D1ACF" w:rsidRPr="00BA20B4">
        <w:rPr>
          <w:rFonts w:ascii="Times New Roman" w:hAnsi="Times New Roman" w:cs="Arial"/>
          <w:lang w:eastAsia="es-ES"/>
        </w:rPr>
        <w:t xml:space="preserve"> las cifras fueron 3,9 y 1,2 respectivamente</w:t>
      </w:r>
      <w:r w:rsidR="002D1ACF" w:rsidRPr="00BA20B4">
        <w:rPr>
          <w:rStyle w:val="Refdenotaalpie"/>
          <w:rFonts w:ascii="Times New Roman" w:hAnsi="Times New Roman" w:cs="Arial"/>
        </w:rPr>
        <w:footnoteReference w:id="67"/>
      </w:r>
      <w:r w:rsidR="002D1ACF" w:rsidRPr="00BA20B4">
        <w:rPr>
          <w:rFonts w:ascii="Times New Roman" w:hAnsi="Times New Roman" w:cs="Arial"/>
          <w:lang w:eastAsia="es-ES"/>
        </w:rPr>
        <w:t>. Es decir, la tasa de deserción aumentó en el sector oficial mientras que descendió en el sector privado</w:t>
      </w:r>
      <w:r w:rsidR="002D1ACF" w:rsidRPr="00BA20B4">
        <w:rPr>
          <w:rStyle w:val="Refdenotaalpie"/>
          <w:rFonts w:ascii="Times New Roman" w:hAnsi="Times New Roman"/>
        </w:rPr>
        <w:footnoteReference w:id="68"/>
      </w:r>
      <w:r w:rsidR="002D1ACF" w:rsidRPr="00BA20B4">
        <w:rPr>
          <w:rFonts w:ascii="Times New Roman" w:hAnsi="Times New Roman"/>
        </w:rPr>
        <w:t>.</w:t>
      </w:r>
    </w:p>
    <w:p w:rsidR="002D1ACF" w:rsidRDefault="002D1ACF" w:rsidP="005C5235">
      <w:pPr>
        <w:jc w:val="both"/>
      </w:pPr>
    </w:p>
    <w:p w:rsidR="005C5235" w:rsidRPr="00F719B3" w:rsidRDefault="00E8193D" w:rsidP="00F719B3">
      <w:pPr>
        <w:jc w:val="center"/>
        <w:rPr>
          <w:rFonts w:ascii="Times New Roman" w:hAnsi="Times New Roman"/>
          <w:b/>
        </w:rPr>
      </w:pPr>
      <w:r>
        <w:rPr>
          <w:rFonts w:ascii="Times New Roman" w:hAnsi="Times New Roman"/>
          <w:b/>
        </w:rPr>
        <w:t>Tabla 7</w:t>
      </w:r>
      <w:r w:rsidR="00F719B3" w:rsidRPr="00F719B3">
        <w:rPr>
          <w:rFonts w:ascii="Times New Roman" w:hAnsi="Times New Roman"/>
          <w:b/>
        </w:rPr>
        <w:t xml:space="preserve">. </w:t>
      </w:r>
      <w:r w:rsidR="005C5235" w:rsidRPr="00F719B3">
        <w:rPr>
          <w:rFonts w:ascii="Times New Roman" w:hAnsi="Times New Roman"/>
          <w:b/>
        </w:rPr>
        <w:t>Indicadores de eficiencia interna 2011</w:t>
      </w:r>
    </w:p>
    <w:tbl>
      <w:tblPr>
        <w:tblW w:w="0" w:type="auto"/>
        <w:tblLook w:val="00A0" w:firstRow="1" w:lastRow="0" w:firstColumn="1" w:lastColumn="0" w:noHBand="0" w:noVBand="0"/>
      </w:tblPr>
      <w:tblGrid>
        <w:gridCol w:w="2244"/>
        <w:gridCol w:w="2244"/>
        <w:gridCol w:w="2245"/>
        <w:gridCol w:w="2245"/>
      </w:tblGrid>
      <w:tr w:rsidR="002D1ACF" w:rsidRPr="00BA20B4">
        <w:tc>
          <w:tcPr>
            <w:tcW w:w="2244" w:type="dxa"/>
            <w:shd w:val="clear" w:color="auto" w:fill="C0C0C0"/>
          </w:tcPr>
          <w:p w:rsidR="002D1ACF" w:rsidRPr="00BA20B4" w:rsidRDefault="002D1ACF" w:rsidP="00DD40EE">
            <w:pPr>
              <w:jc w:val="both"/>
              <w:rPr>
                <w:rFonts w:ascii="Times New Roman" w:hAnsi="Times New Roman"/>
              </w:rPr>
            </w:pPr>
            <w:r w:rsidRPr="00BA20B4">
              <w:rPr>
                <w:rFonts w:ascii="Times New Roman" w:hAnsi="Times New Roman"/>
              </w:rPr>
              <w:t>Tipo de colegio</w:t>
            </w:r>
          </w:p>
        </w:tc>
        <w:tc>
          <w:tcPr>
            <w:tcW w:w="2244" w:type="dxa"/>
            <w:shd w:val="clear" w:color="auto" w:fill="C0C0C0"/>
          </w:tcPr>
          <w:p w:rsidR="002D1ACF" w:rsidRPr="00BA20B4" w:rsidRDefault="002D1ACF" w:rsidP="00DD40EE">
            <w:pPr>
              <w:jc w:val="center"/>
              <w:rPr>
                <w:rFonts w:ascii="Times New Roman" w:hAnsi="Times New Roman"/>
              </w:rPr>
            </w:pPr>
            <w:r w:rsidRPr="00BA20B4">
              <w:rPr>
                <w:rFonts w:ascii="Times New Roman" w:hAnsi="Times New Roman"/>
              </w:rPr>
              <w:t>Tasa de aprobación</w:t>
            </w:r>
          </w:p>
        </w:tc>
        <w:tc>
          <w:tcPr>
            <w:tcW w:w="2245" w:type="dxa"/>
            <w:shd w:val="clear" w:color="auto" w:fill="C0C0C0"/>
          </w:tcPr>
          <w:p w:rsidR="002D1ACF" w:rsidRPr="00BA20B4" w:rsidRDefault="002D1ACF" w:rsidP="00DD40EE">
            <w:pPr>
              <w:jc w:val="center"/>
              <w:rPr>
                <w:rFonts w:ascii="Times New Roman" w:hAnsi="Times New Roman"/>
              </w:rPr>
            </w:pPr>
            <w:r w:rsidRPr="00BA20B4">
              <w:rPr>
                <w:rFonts w:ascii="Times New Roman" w:hAnsi="Times New Roman"/>
              </w:rPr>
              <w:t>Tasa de reprobación</w:t>
            </w:r>
          </w:p>
        </w:tc>
        <w:tc>
          <w:tcPr>
            <w:tcW w:w="2245" w:type="dxa"/>
            <w:shd w:val="clear" w:color="auto" w:fill="C0C0C0"/>
          </w:tcPr>
          <w:p w:rsidR="002D1ACF" w:rsidRPr="00BA20B4" w:rsidRDefault="002D1ACF" w:rsidP="00DD40EE">
            <w:pPr>
              <w:jc w:val="center"/>
              <w:rPr>
                <w:rFonts w:ascii="Times New Roman" w:hAnsi="Times New Roman"/>
              </w:rPr>
            </w:pPr>
            <w:r w:rsidRPr="00BA20B4">
              <w:rPr>
                <w:rFonts w:ascii="Times New Roman" w:hAnsi="Times New Roman"/>
              </w:rPr>
              <w:t>Tasa de deserción</w:t>
            </w:r>
          </w:p>
        </w:tc>
      </w:tr>
      <w:tr w:rsidR="002D1ACF" w:rsidRPr="00BA20B4">
        <w:tc>
          <w:tcPr>
            <w:tcW w:w="2244" w:type="dxa"/>
          </w:tcPr>
          <w:p w:rsidR="002D1ACF" w:rsidRPr="00BA20B4" w:rsidRDefault="002D1ACF" w:rsidP="00DD40EE">
            <w:pPr>
              <w:jc w:val="both"/>
              <w:rPr>
                <w:rFonts w:ascii="Times New Roman" w:hAnsi="Times New Roman"/>
              </w:rPr>
            </w:pPr>
            <w:r w:rsidRPr="00BA20B4">
              <w:rPr>
                <w:rFonts w:ascii="Times New Roman" w:hAnsi="Times New Roman"/>
              </w:rPr>
              <w:t>Distrital</w:t>
            </w:r>
          </w:p>
        </w:tc>
        <w:tc>
          <w:tcPr>
            <w:tcW w:w="2244" w:type="dxa"/>
          </w:tcPr>
          <w:p w:rsidR="002D1ACF" w:rsidRPr="00BA20B4" w:rsidRDefault="002D1ACF" w:rsidP="00DD40EE">
            <w:pPr>
              <w:jc w:val="center"/>
              <w:rPr>
                <w:rFonts w:ascii="Times New Roman" w:hAnsi="Times New Roman"/>
              </w:rPr>
            </w:pPr>
            <w:r w:rsidRPr="00BA20B4">
              <w:rPr>
                <w:rFonts w:ascii="Times New Roman" w:hAnsi="Times New Roman"/>
              </w:rPr>
              <w:t>84,7</w:t>
            </w:r>
          </w:p>
        </w:tc>
        <w:tc>
          <w:tcPr>
            <w:tcW w:w="2245" w:type="dxa"/>
          </w:tcPr>
          <w:p w:rsidR="002D1ACF" w:rsidRPr="00BA20B4" w:rsidRDefault="002D1ACF" w:rsidP="00DD40EE">
            <w:pPr>
              <w:jc w:val="center"/>
              <w:rPr>
                <w:rFonts w:ascii="Times New Roman" w:hAnsi="Times New Roman"/>
              </w:rPr>
            </w:pPr>
            <w:r w:rsidRPr="00BA20B4">
              <w:rPr>
                <w:rFonts w:ascii="Times New Roman" w:hAnsi="Times New Roman"/>
              </w:rPr>
              <w:t>10,8</w:t>
            </w:r>
          </w:p>
        </w:tc>
        <w:tc>
          <w:tcPr>
            <w:tcW w:w="2245" w:type="dxa"/>
          </w:tcPr>
          <w:p w:rsidR="002D1ACF" w:rsidRPr="00BA20B4" w:rsidRDefault="002D1ACF" w:rsidP="00DD40EE">
            <w:pPr>
              <w:jc w:val="center"/>
              <w:rPr>
                <w:rFonts w:ascii="Times New Roman" w:hAnsi="Times New Roman"/>
              </w:rPr>
            </w:pPr>
            <w:r w:rsidRPr="00BA20B4">
              <w:rPr>
                <w:rFonts w:ascii="Times New Roman" w:hAnsi="Times New Roman"/>
              </w:rPr>
              <w:t>4,5</w:t>
            </w:r>
          </w:p>
        </w:tc>
      </w:tr>
      <w:tr w:rsidR="002D1ACF" w:rsidRPr="00BA20B4">
        <w:tc>
          <w:tcPr>
            <w:tcW w:w="2244" w:type="dxa"/>
          </w:tcPr>
          <w:p w:rsidR="002D1ACF" w:rsidRPr="00BA20B4" w:rsidRDefault="002D1ACF" w:rsidP="00DD40EE">
            <w:pPr>
              <w:jc w:val="both"/>
              <w:rPr>
                <w:rFonts w:ascii="Times New Roman" w:hAnsi="Times New Roman"/>
              </w:rPr>
            </w:pPr>
            <w:r w:rsidRPr="00BA20B4">
              <w:rPr>
                <w:rFonts w:ascii="Times New Roman" w:hAnsi="Times New Roman"/>
              </w:rPr>
              <w:t>Concesión</w:t>
            </w:r>
          </w:p>
        </w:tc>
        <w:tc>
          <w:tcPr>
            <w:tcW w:w="2244" w:type="dxa"/>
          </w:tcPr>
          <w:p w:rsidR="002D1ACF" w:rsidRPr="00BA20B4" w:rsidRDefault="002D1ACF" w:rsidP="00DD40EE">
            <w:pPr>
              <w:jc w:val="center"/>
              <w:rPr>
                <w:rFonts w:ascii="Times New Roman" w:hAnsi="Times New Roman"/>
              </w:rPr>
            </w:pPr>
            <w:r w:rsidRPr="00BA20B4">
              <w:rPr>
                <w:rFonts w:ascii="Times New Roman" w:hAnsi="Times New Roman"/>
              </w:rPr>
              <w:t>90.1</w:t>
            </w:r>
          </w:p>
        </w:tc>
        <w:tc>
          <w:tcPr>
            <w:tcW w:w="2245" w:type="dxa"/>
          </w:tcPr>
          <w:p w:rsidR="002D1ACF" w:rsidRPr="00BA20B4" w:rsidRDefault="002D1ACF" w:rsidP="00DD40EE">
            <w:pPr>
              <w:jc w:val="center"/>
              <w:rPr>
                <w:rFonts w:ascii="Times New Roman" w:hAnsi="Times New Roman"/>
              </w:rPr>
            </w:pPr>
            <w:r w:rsidRPr="00BA20B4">
              <w:rPr>
                <w:rFonts w:ascii="Times New Roman" w:hAnsi="Times New Roman"/>
              </w:rPr>
              <w:t>8,4</w:t>
            </w:r>
          </w:p>
        </w:tc>
        <w:tc>
          <w:tcPr>
            <w:tcW w:w="2245" w:type="dxa"/>
          </w:tcPr>
          <w:p w:rsidR="002D1ACF" w:rsidRPr="00BA20B4" w:rsidRDefault="002D1ACF" w:rsidP="00DD40EE">
            <w:pPr>
              <w:jc w:val="center"/>
              <w:rPr>
                <w:rFonts w:ascii="Times New Roman" w:hAnsi="Times New Roman"/>
              </w:rPr>
            </w:pPr>
            <w:r w:rsidRPr="00BA20B4">
              <w:rPr>
                <w:rFonts w:ascii="Times New Roman" w:hAnsi="Times New Roman"/>
              </w:rPr>
              <w:t>1,6</w:t>
            </w:r>
          </w:p>
        </w:tc>
      </w:tr>
      <w:tr w:rsidR="002D1ACF" w:rsidRPr="00BA20B4">
        <w:tc>
          <w:tcPr>
            <w:tcW w:w="2244" w:type="dxa"/>
          </w:tcPr>
          <w:p w:rsidR="002D1ACF" w:rsidRPr="00BA20B4" w:rsidRDefault="002D1ACF" w:rsidP="00DD40EE">
            <w:pPr>
              <w:jc w:val="both"/>
              <w:rPr>
                <w:rFonts w:ascii="Times New Roman" w:hAnsi="Times New Roman"/>
              </w:rPr>
            </w:pPr>
            <w:r w:rsidRPr="00BA20B4">
              <w:rPr>
                <w:rFonts w:ascii="Times New Roman" w:hAnsi="Times New Roman"/>
              </w:rPr>
              <w:t>Convenio</w:t>
            </w:r>
          </w:p>
        </w:tc>
        <w:tc>
          <w:tcPr>
            <w:tcW w:w="2244" w:type="dxa"/>
          </w:tcPr>
          <w:p w:rsidR="002D1ACF" w:rsidRPr="00BA20B4" w:rsidRDefault="002D1ACF" w:rsidP="00DD40EE">
            <w:pPr>
              <w:jc w:val="center"/>
              <w:rPr>
                <w:rFonts w:ascii="Times New Roman" w:hAnsi="Times New Roman"/>
              </w:rPr>
            </w:pPr>
            <w:r w:rsidRPr="00BA20B4">
              <w:rPr>
                <w:rFonts w:ascii="Times New Roman" w:hAnsi="Times New Roman"/>
              </w:rPr>
              <w:t>93,1</w:t>
            </w:r>
          </w:p>
        </w:tc>
        <w:tc>
          <w:tcPr>
            <w:tcW w:w="2245" w:type="dxa"/>
          </w:tcPr>
          <w:p w:rsidR="002D1ACF" w:rsidRPr="00BA20B4" w:rsidRDefault="002D1ACF" w:rsidP="00DD40EE">
            <w:pPr>
              <w:jc w:val="center"/>
              <w:rPr>
                <w:rFonts w:ascii="Times New Roman" w:hAnsi="Times New Roman"/>
              </w:rPr>
            </w:pPr>
            <w:r w:rsidRPr="00BA20B4">
              <w:rPr>
                <w:rFonts w:ascii="Times New Roman" w:hAnsi="Times New Roman"/>
              </w:rPr>
              <w:t>5,9</w:t>
            </w:r>
          </w:p>
        </w:tc>
        <w:tc>
          <w:tcPr>
            <w:tcW w:w="2245" w:type="dxa"/>
          </w:tcPr>
          <w:p w:rsidR="002D1ACF" w:rsidRPr="00BA20B4" w:rsidRDefault="002D1ACF" w:rsidP="00DD40EE">
            <w:pPr>
              <w:jc w:val="center"/>
              <w:rPr>
                <w:rFonts w:ascii="Times New Roman" w:hAnsi="Times New Roman"/>
              </w:rPr>
            </w:pPr>
            <w:r w:rsidRPr="00BA20B4">
              <w:rPr>
                <w:rFonts w:ascii="Times New Roman" w:hAnsi="Times New Roman"/>
              </w:rPr>
              <w:t>1,0</w:t>
            </w:r>
          </w:p>
        </w:tc>
      </w:tr>
      <w:tr w:rsidR="002D1ACF" w:rsidRPr="00BA20B4">
        <w:tc>
          <w:tcPr>
            <w:tcW w:w="2244" w:type="dxa"/>
          </w:tcPr>
          <w:p w:rsidR="002D1ACF" w:rsidRPr="00BA20B4" w:rsidRDefault="002D1ACF" w:rsidP="00DD40EE">
            <w:pPr>
              <w:jc w:val="both"/>
              <w:rPr>
                <w:rFonts w:ascii="Times New Roman" w:hAnsi="Times New Roman"/>
              </w:rPr>
            </w:pPr>
            <w:r w:rsidRPr="00BA20B4">
              <w:rPr>
                <w:rFonts w:ascii="Times New Roman" w:hAnsi="Times New Roman"/>
              </w:rPr>
              <w:t>Oficial</w:t>
            </w:r>
          </w:p>
        </w:tc>
        <w:tc>
          <w:tcPr>
            <w:tcW w:w="2244" w:type="dxa"/>
          </w:tcPr>
          <w:p w:rsidR="002D1ACF" w:rsidRPr="00BA20B4" w:rsidRDefault="002D1ACF" w:rsidP="00DD40EE">
            <w:pPr>
              <w:jc w:val="center"/>
              <w:rPr>
                <w:rFonts w:ascii="Times New Roman" w:hAnsi="Times New Roman"/>
              </w:rPr>
            </w:pPr>
            <w:r w:rsidRPr="00BA20B4">
              <w:rPr>
                <w:rFonts w:ascii="Times New Roman" w:hAnsi="Times New Roman"/>
              </w:rPr>
              <w:t>86,1</w:t>
            </w:r>
          </w:p>
        </w:tc>
        <w:tc>
          <w:tcPr>
            <w:tcW w:w="2245" w:type="dxa"/>
          </w:tcPr>
          <w:p w:rsidR="002D1ACF" w:rsidRPr="00BA20B4" w:rsidRDefault="002D1ACF" w:rsidP="00DD40EE">
            <w:pPr>
              <w:jc w:val="center"/>
              <w:rPr>
                <w:rFonts w:ascii="Times New Roman" w:hAnsi="Times New Roman"/>
              </w:rPr>
            </w:pPr>
            <w:r w:rsidRPr="00BA20B4">
              <w:rPr>
                <w:rFonts w:ascii="Times New Roman" w:hAnsi="Times New Roman"/>
              </w:rPr>
              <w:t>10,0</w:t>
            </w:r>
          </w:p>
        </w:tc>
        <w:tc>
          <w:tcPr>
            <w:tcW w:w="2245" w:type="dxa"/>
          </w:tcPr>
          <w:p w:rsidR="002D1ACF" w:rsidRPr="00BA20B4" w:rsidRDefault="002D1ACF" w:rsidP="00DD40EE">
            <w:pPr>
              <w:jc w:val="center"/>
              <w:rPr>
                <w:rFonts w:ascii="Times New Roman" w:hAnsi="Times New Roman"/>
              </w:rPr>
            </w:pPr>
            <w:r w:rsidRPr="00BA20B4">
              <w:rPr>
                <w:rFonts w:ascii="Times New Roman" w:hAnsi="Times New Roman"/>
              </w:rPr>
              <w:t>3,9</w:t>
            </w:r>
          </w:p>
        </w:tc>
      </w:tr>
      <w:tr w:rsidR="002D1ACF" w:rsidRPr="00BA20B4">
        <w:tc>
          <w:tcPr>
            <w:tcW w:w="2244" w:type="dxa"/>
            <w:shd w:val="clear" w:color="auto" w:fill="C0C0C0"/>
          </w:tcPr>
          <w:p w:rsidR="002D1ACF" w:rsidRPr="00BA20B4" w:rsidRDefault="002D1ACF" w:rsidP="00DD40EE">
            <w:pPr>
              <w:jc w:val="both"/>
              <w:rPr>
                <w:rFonts w:ascii="Times New Roman" w:hAnsi="Times New Roman"/>
              </w:rPr>
            </w:pPr>
            <w:r w:rsidRPr="00BA20B4">
              <w:rPr>
                <w:rFonts w:ascii="Times New Roman" w:hAnsi="Times New Roman"/>
              </w:rPr>
              <w:t>Privado</w:t>
            </w:r>
          </w:p>
        </w:tc>
        <w:tc>
          <w:tcPr>
            <w:tcW w:w="2244" w:type="dxa"/>
            <w:shd w:val="clear" w:color="auto" w:fill="C0C0C0"/>
          </w:tcPr>
          <w:p w:rsidR="002D1ACF" w:rsidRPr="00BA20B4" w:rsidRDefault="002D1ACF" w:rsidP="00DD40EE">
            <w:pPr>
              <w:jc w:val="center"/>
              <w:rPr>
                <w:rFonts w:ascii="Times New Roman" w:hAnsi="Times New Roman"/>
              </w:rPr>
            </w:pPr>
            <w:r w:rsidRPr="00BA20B4">
              <w:rPr>
                <w:rFonts w:ascii="Times New Roman" w:hAnsi="Times New Roman"/>
              </w:rPr>
              <w:t>95,6</w:t>
            </w:r>
          </w:p>
        </w:tc>
        <w:tc>
          <w:tcPr>
            <w:tcW w:w="2245" w:type="dxa"/>
            <w:shd w:val="clear" w:color="auto" w:fill="C0C0C0"/>
          </w:tcPr>
          <w:p w:rsidR="002D1ACF" w:rsidRPr="00BA20B4" w:rsidRDefault="002D1ACF" w:rsidP="00DD40EE">
            <w:pPr>
              <w:jc w:val="center"/>
              <w:rPr>
                <w:rFonts w:ascii="Times New Roman" w:hAnsi="Times New Roman"/>
              </w:rPr>
            </w:pPr>
            <w:r w:rsidRPr="00BA20B4">
              <w:rPr>
                <w:rFonts w:ascii="Times New Roman" w:hAnsi="Times New Roman"/>
              </w:rPr>
              <w:t>3,2</w:t>
            </w:r>
          </w:p>
        </w:tc>
        <w:tc>
          <w:tcPr>
            <w:tcW w:w="2245" w:type="dxa"/>
            <w:shd w:val="clear" w:color="auto" w:fill="C0C0C0"/>
          </w:tcPr>
          <w:p w:rsidR="002D1ACF" w:rsidRPr="00BA20B4" w:rsidRDefault="002D1ACF" w:rsidP="00DD40EE">
            <w:pPr>
              <w:jc w:val="center"/>
              <w:rPr>
                <w:rFonts w:ascii="Times New Roman" w:hAnsi="Times New Roman"/>
              </w:rPr>
            </w:pPr>
            <w:r w:rsidRPr="00BA20B4">
              <w:rPr>
                <w:rFonts w:ascii="Times New Roman" w:hAnsi="Times New Roman"/>
              </w:rPr>
              <w:t>1,2</w:t>
            </w:r>
          </w:p>
        </w:tc>
      </w:tr>
    </w:tbl>
    <w:p w:rsidR="002D1ACF" w:rsidRPr="00BA20B4" w:rsidRDefault="002D1ACF" w:rsidP="002D1ACF">
      <w:pPr>
        <w:jc w:val="both"/>
        <w:rPr>
          <w:rFonts w:ascii="Times New Roman" w:hAnsi="Times New Roman"/>
          <w:sz w:val="20"/>
        </w:rPr>
      </w:pPr>
      <w:r w:rsidRPr="00BA20B4">
        <w:rPr>
          <w:rFonts w:ascii="Times New Roman" w:hAnsi="Times New Roman"/>
          <w:sz w:val="20"/>
        </w:rPr>
        <w:t>Fuente: SED, Perfil Educativo Bogotá, 2011, p. 39</w:t>
      </w:r>
    </w:p>
    <w:p w:rsidR="00972AAE" w:rsidRPr="00BA20B4" w:rsidRDefault="00972AAE" w:rsidP="005A5B0C">
      <w:pPr>
        <w:rPr>
          <w:rFonts w:ascii="Times New Roman" w:hAnsi="Times New Roman"/>
        </w:rPr>
      </w:pPr>
    </w:p>
    <w:p w:rsidR="00DF611E" w:rsidRDefault="00945085">
      <w:pPr>
        <w:jc w:val="both"/>
        <w:rPr>
          <w:rFonts w:ascii="Times New Roman" w:hAnsi="Times New Roman" w:cs="MyriadPro-Light"/>
        </w:rPr>
      </w:pPr>
      <w:r w:rsidRPr="00285801">
        <w:rPr>
          <w:rFonts w:ascii="Times New Roman" w:hAnsi="Times New Roman"/>
        </w:rPr>
        <w:t xml:space="preserve">Atención a primera infancia. </w:t>
      </w:r>
      <w:r w:rsidRPr="00CD58DA">
        <w:rPr>
          <w:rFonts w:ascii="Times New Roman" w:hAnsi="Times New Roman"/>
        </w:rPr>
        <w:t>En el año 2011 había en Bogotá 714.721 niños entre 0 y 5 años, 348.756 niñas y 365.965 niños, de los cuales 52% (375.094)</w:t>
      </w:r>
      <w:r w:rsidRPr="00285801">
        <w:rPr>
          <w:rStyle w:val="Refdenotaalpie"/>
          <w:rFonts w:ascii="Times New Roman" w:hAnsi="Times New Roman"/>
          <w:szCs w:val="22"/>
        </w:rPr>
        <w:footnoteReference w:id="69"/>
      </w:r>
      <w:r w:rsidRPr="00CD58DA">
        <w:rPr>
          <w:rFonts w:ascii="Times New Roman" w:hAnsi="Times New Roman"/>
        </w:rPr>
        <w:t xml:space="preserve"> est</w:t>
      </w:r>
      <w:r w:rsidR="00DB138B">
        <w:rPr>
          <w:rFonts w:ascii="Times New Roman" w:hAnsi="Times New Roman"/>
        </w:rPr>
        <w:t>aba</w:t>
      </w:r>
      <w:r w:rsidRPr="00CD58DA">
        <w:rPr>
          <w:rFonts w:ascii="Times New Roman" w:hAnsi="Times New Roman"/>
        </w:rPr>
        <w:t xml:space="preserve"> matriculado en la educación inicial. La oferta oficial del Distrito aporta un poco más de la quinta parte de la atención. Al analizar las cifras por rango de edad se advierte que la cobertura aumenta conforme aumenta la edad. </w:t>
      </w:r>
      <w:r w:rsidR="00192240">
        <w:rPr>
          <w:rFonts w:ascii="Times New Roman" w:hAnsi="Times New Roman"/>
        </w:rPr>
        <w:t>Entre los niños y niñas de</w:t>
      </w:r>
      <w:r w:rsidRPr="00CD58DA">
        <w:rPr>
          <w:rFonts w:ascii="Times New Roman" w:hAnsi="Times New Roman"/>
        </w:rPr>
        <w:t xml:space="preserve"> 0-2 años la cobertura es del 6%, </w:t>
      </w:r>
      <w:r>
        <w:rPr>
          <w:rFonts w:ascii="Times New Roman" w:hAnsi="Times New Roman"/>
        </w:rPr>
        <w:t>en</w:t>
      </w:r>
      <w:r w:rsidRPr="00CD58DA">
        <w:rPr>
          <w:rFonts w:ascii="Times New Roman" w:hAnsi="Times New Roman"/>
        </w:rPr>
        <w:t xml:space="preserve"> los 3 años es el 47%, </w:t>
      </w:r>
      <w:r>
        <w:rPr>
          <w:rFonts w:ascii="Times New Roman" w:hAnsi="Times New Roman"/>
        </w:rPr>
        <w:t>en</w:t>
      </w:r>
      <w:r w:rsidRPr="00CD58DA">
        <w:rPr>
          <w:rFonts w:ascii="Times New Roman" w:hAnsi="Times New Roman"/>
        </w:rPr>
        <w:t xml:space="preserve"> los 4 años el 59% y </w:t>
      </w:r>
      <w:r>
        <w:rPr>
          <w:rFonts w:ascii="Times New Roman" w:hAnsi="Times New Roman"/>
        </w:rPr>
        <w:t>en</w:t>
      </w:r>
      <w:r w:rsidRPr="00CD58DA">
        <w:rPr>
          <w:rFonts w:ascii="Times New Roman" w:hAnsi="Times New Roman"/>
        </w:rPr>
        <w:t xml:space="preserve"> los 5 años el 98%</w:t>
      </w:r>
      <w:r w:rsidRPr="00285801">
        <w:rPr>
          <w:rStyle w:val="Refdenotaalpie"/>
          <w:rFonts w:ascii="Times New Roman" w:hAnsi="Times New Roman"/>
          <w:szCs w:val="22"/>
        </w:rPr>
        <w:footnoteReference w:id="70"/>
      </w:r>
      <w:r w:rsidRPr="00CD58DA">
        <w:rPr>
          <w:rFonts w:ascii="Times New Roman" w:hAnsi="Times New Roman"/>
        </w:rPr>
        <w:t xml:space="preserve">. </w:t>
      </w:r>
      <w:r w:rsidRPr="00CD58DA">
        <w:rPr>
          <w:rFonts w:ascii="Times New Roman" w:hAnsi="Times New Roman" w:cs="MyriadPro-Light"/>
        </w:rPr>
        <w:t>Las niñas y niños son atendidos por el Distrito, mediante cupos de la Secretaría de Educación y de la Secretaría de Integración Social, por jardines privados y por el ICBF.</w:t>
      </w:r>
    </w:p>
    <w:p w:rsidR="00E8193D" w:rsidRDefault="00E8193D" w:rsidP="00945085">
      <w:pPr>
        <w:pStyle w:val="Default"/>
        <w:jc w:val="both"/>
        <w:rPr>
          <w:rFonts w:ascii="Times New Roman" w:hAnsi="Times New Roman"/>
          <w:sz w:val="22"/>
          <w:szCs w:val="22"/>
        </w:rPr>
      </w:pPr>
    </w:p>
    <w:p w:rsidR="00E8193D" w:rsidRDefault="00E8193D" w:rsidP="00945085">
      <w:pPr>
        <w:pStyle w:val="Default"/>
        <w:jc w:val="both"/>
        <w:rPr>
          <w:rFonts w:ascii="Times New Roman" w:hAnsi="Times New Roman"/>
          <w:sz w:val="22"/>
          <w:szCs w:val="22"/>
        </w:rPr>
      </w:pPr>
    </w:p>
    <w:p w:rsidR="00603580" w:rsidRDefault="00603580" w:rsidP="00945085">
      <w:pPr>
        <w:pStyle w:val="Default"/>
        <w:jc w:val="both"/>
        <w:rPr>
          <w:rFonts w:ascii="Times New Roman" w:hAnsi="Times New Roman"/>
          <w:sz w:val="22"/>
          <w:szCs w:val="22"/>
        </w:rPr>
      </w:pPr>
    </w:p>
    <w:p w:rsidR="00603580" w:rsidRDefault="00603580" w:rsidP="00945085">
      <w:pPr>
        <w:pStyle w:val="Default"/>
        <w:jc w:val="both"/>
        <w:rPr>
          <w:rFonts w:ascii="Times New Roman" w:hAnsi="Times New Roman"/>
          <w:sz w:val="22"/>
          <w:szCs w:val="22"/>
        </w:rPr>
      </w:pPr>
    </w:p>
    <w:p w:rsidR="00603580" w:rsidRDefault="00603580" w:rsidP="00945085">
      <w:pPr>
        <w:pStyle w:val="Default"/>
        <w:jc w:val="both"/>
        <w:rPr>
          <w:rFonts w:ascii="Times New Roman" w:hAnsi="Times New Roman"/>
          <w:sz w:val="22"/>
          <w:szCs w:val="22"/>
        </w:rPr>
      </w:pPr>
    </w:p>
    <w:p w:rsidR="00603580" w:rsidRDefault="00603580" w:rsidP="00945085">
      <w:pPr>
        <w:pStyle w:val="Default"/>
        <w:jc w:val="both"/>
        <w:rPr>
          <w:rFonts w:ascii="Times New Roman" w:hAnsi="Times New Roman"/>
          <w:sz w:val="22"/>
          <w:szCs w:val="22"/>
        </w:rPr>
      </w:pPr>
    </w:p>
    <w:p w:rsidR="00945085" w:rsidRPr="00BA20B4" w:rsidRDefault="00945085" w:rsidP="00945085">
      <w:pPr>
        <w:pStyle w:val="Default"/>
        <w:jc w:val="both"/>
        <w:rPr>
          <w:rFonts w:ascii="Times New Roman" w:hAnsi="Times New Roman"/>
          <w:sz w:val="22"/>
          <w:szCs w:val="22"/>
        </w:rPr>
      </w:pPr>
    </w:p>
    <w:p w:rsidR="0057281C" w:rsidRPr="0057281C" w:rsidRDefault="00E8193D" w:rsidP="00945085">
      <w:pPr>
        <w:pStyle w:val="Default"/>
        <w:jc w:val="center"/>
        <w:rPr>
          <w:rFonts w:ascii="Times New Roman" w:hAnsi="Times New Roman"/>
          <w:b/>
          <w:sz w:val="22"/>
          <w:szCs w:val="22"/>
        </w:rPr>
      </w:pPr>
      <w:r>
        <w:rPr>
          <w:rFonts w:ascii="Times New Roman" w:hAnsi="Times New Roman"/>
          <w:b/>
          <w:sz w:val="22"/>
          <w:szCs w:val="22"/>
        </w:rPr>
        <w:lastRenderedPageBreak/>
        <w:t>Tabla 8</w:t>
      </w:r>
    </w:p>
    <w:p w:rsidR="00945085" w:rsidRPr="0057281C" w:rsidRDefault="00945085" w:rsidP="00945085">
      <w:pPr>
        <w:pStyle w:val="Default"/>
        <w:jc w:val="center"/>
        <w:rPr>
          <w:rFonts w:ascii="Times New Roman" w:hAnsi="Times New Roman"/>
          <w:b/>
          <w:sz w:val="22"/>
          <w:szCs w:val="22"/>
        </w:rPr>
      </w:pPr>
      <w:r w:rsidRPr="0057281C">
        <w:rPr>
          <w:rFonts w:ascii="Times New Roman" w:hAnsi="Times New Roman"/>
          <w:b/>
          <w:sz w:val="22"/>
          <w:szCs w:val="22"/>
        </w:rPr>
        <w:t>Creciendo saludables, ambientes adecuados para el desarrollo de la primera infancia y educación diferencial, inclusiva y de calidad para disfrutar y aprender desde la primera infancia</w:t>
      </w:r>
    </w:p>
    <w:tbl>
      <w:tblPr>
        <w:tblW w:w="0" w:type="auto"/>
        <w:tblLook w:val="00A0" w:firstRow="1" w:lastRow="0" w:firstColumn="1" w:lastColumn="0" w:noHBand="0" w:noVBand="0"/>
      </w:tblPr>
      <w:tblGrid>
        <w:gridCol w:w="2093"/>
        <w:gridCol w:w="1417"/>
        <w:gridCol w:w="1418"/>
        <w:gridCol w:w="1559"/>
        <w:gridCol w:w="1276"/>
        <w:gridCol w:w="1215"/>
      </w:tblGrid>
      <w:tr w:rsidR="00945085" w:rsidRPr="00BA20B4">
        <w:trPr>
          <w:trHeight w:val="240"/>
        </w:trPr>
        <w:tc>
          <w:tcPr>
            <w:tcW w:w="2093" w:type="dxa"/>
            <w:vMerge w:val="restart"/>
          </w:tcPr>
          <w:p w:rsidR="00945085" w:rsidRPr="00BA20B4" w:rsidRDefault="00945085" w:rsidP="00DD40EE">
            <w:pPr>
              <w:pStyle w:val="Default"/>
              <w:jc w:val="both"/>
              <w:rPr>
                <w:rFonts w:ascii="Times New Roman" w:hAnsi="Times New Roman"/>
                <w:sz w:val="20"/>
              </w:rPr>
            </w:pPr>
          </w:p>
        </w:tc>
        <w:tc>
          <w:tcPr>
            <w:tcW w:w="4394" w:type="dxa"/>
            <w:gridSpan w:val="3"/>
            <w:tcBorders>
              <w:bottom w:val="single" w:sz="4" w:space="0" w:color="auto"/>
            </w:tcBorders>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Atención Integral Primera Infancia</w:t>
            </w:r>
          </w:p>
          <w:p w:rsidR="00945085" w:rsidRPr="00BA20B4" w:rsidRDefault="00945085" w:rsidP="00DD40EE">
            <w:pPr>
              <w:pStyle w:val="Default"/>
              <w:jc w:val="center"/>
              <w:rPr>
                <w:rFonts w:ascii="Times New Roman" w:hAnsi="Times New Roman"/>
                <w:sz w:val="20"/>
              </w:rPr>
            </w:pPr>
          </w:p>
        </w:tc>
        <w:tc>
          <w:tcPr>
            <w:tcW w:w="1276" w:type="dxa"/>
            <w:tcBorders>
              <w:bottom w:val="single" w:sz="4" w:space="0" w:color="auto"/>
            </w:tcBorders>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Transición</w:t>
            </w:r>
          </w:p>
        </w:tc>
        <w:tc>
          <w:tcPr>
            <w:tcW w:w="1215" w:type="dxa"/>
            <w:vMerge w:val="restart"/>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Total</w:t>
            </w:r>
          </w:p>
        </w:tc>
      </w:tr>
      <w:tr w:rsidR="00945085" w:rsidRPr="00BA20B4">
        <w:trPr>
          <w:trHeight w:val="260"/>
        </w:trPr>
        <w:tc>
          <w:tcPr>
            <w:tcW w:w="2093" w:type="dxa"/>
            <w:vMerge/>
          </w:tcPr>
          <w:p w:rsidR="00945085" w:rsidRPr="00BA20B4" w:rsidRDefault="00945085" w:rsidP="00DD40EE">
            <w:pPr>
              <w:pStyle w:val="Default"/>
              <w:jc w:val="both"/>
              <w:rPr>
                <w:rFonts w:ascii="Times New Roman" w:hAnsi="Times New Roman"/>
                <w:sz w:val="20"/>
              </w:rPr>
            </w:pPr>
          </w:p>
        </w:tc>
        <w:tc>
          <w:tcPr>
            <w:tcW w:w="1417" w:type="dxa"/>
            <w:tcBorders>
              <w:top w:val="single" w:sz="4" w:space="0" w:color="auto"/>
            </w:tcBorders>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0 a 2 años</w:t>
            </w:r>
          </w:p>
        </w:tc>
        <w:tc>
          <w:tcPr>
            <w:tcW w:w="1418" w:type="dxa"/>
            <w:tcBorders>
              <w:top w:val="single" w:sz="4" w:space="0" w:color="auto"/>
            </w:tcBorders>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3 años</w:t>
            </w:r>
          </w:p>
        </w:tc>
        <w:tc>
          <w:tcPr>
            <w:tcW w:w="1559" w:type="dxa"/>
            <w:tcBorders>
              <w:top w:val="single" w:sz="4" w:space="0" w:color="auto"/>
            </w:tcBorders>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4 años</w:t>
            </w:r>
          </w:p>
        </w:tc>
        <w:tc>
          <w:tcPr>
            <w:tcW w:w="1276" w:type="dxa"/>
            <w:tcBorders>
              <w:top w:val="single" w:sz="4" w:space="0" w:color="auto"/>
            </w:tcBorders>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5 años</w:t>
            </w:r>
          </w:p>
        </w:tc>
        <w:tc>
          <w:tcPr>
            <w:tcW w:w="1215" w:type="dxa"/>
            <w:vMerge/>
          </w:tcPr>
          <w:p w:rsidR="00945085" w:rsidRPr="00BA20B4" w:rsidRDefault="00945085" w:rsidP="00DD40EE">
            <w:pPr>
              <w:pStyle w:val="Default"/>
              <w:jc w:val="both"/>
              <w:rPr>
                <w:rFonts w:ascii="Times New Roman" w:hAnsi="Times New Roman"/>
                <w:sz w:val="20"/>
              </w:rPr>
            </w:pP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Población total 2011</w:t>
            </w:r>
          </w:p>
        </w:tc>
        <w:tc>
          <w:tcPr>
            <w:tcW w:w="1417"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358.793</w:t>
            </w:r>
          </w:p>
        </w:tc>
        <w:tc>
          <w:tcPr>
            <w:tcW w:w="1418"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118.737</w:t>
            </w:r>
          </w:p>
        </w:tc>
        <w:tc>
          <w:tcPr>
            <w:tcW w:w="1559"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118.547</w:t>
            </w:r>
          </w:p>
        </w:tc>
        <w:tc>
          <w:tcPr>
            <w:tcW w:w="1276"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118.464</w:t>
            </w: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714.721</w:t>
            </w: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Cupos SED</w:t>
            </w:r>
          </w:p>
        </w:tc>
        <w:tc>
          <w:tcPr>
            <w:tcW w:w="1417"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w:t>
            </w:r>
          </w:p>
        </w:tc>
        <w:tc>
          <w:tcPr>
            <w:tcW w:w="1418"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356</w:t>
            </w:r>
          </w:p>
        </w:tc>
        <w:tc>
          <w:tcPr>
            <w:tcW w:w="1559"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5.998</w:t>
            </w:r>
          </w:p>
        </w:tc>
        <w:tc>
          <w:tcPr>
            <w:tcW w:w="1276"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55.361</w:t>
            </w: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61.716</w:t>
            </w: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Cupos SDIS</w:t>
            </w:r>
          </w:p>
        </w:tc>
        <w:tc>
          <w:tcPr>
            <w:tcW w:w="1417"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17.807</w:t>
            </w:r>
          </w:p>
        </w:tc>
        <w:tc>
          <w:tcPr>
            <w:tcW w:w="1418"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14.327</w:t>
            </w:r>
          </w:p>
        </w:tc>
        <w:tc>
          <w:tcPr>
            <w:tcW w:w="1559"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15.161</w:t>
            </w:r>
          </w:p>
        </w:tc>
        <w:tc>
          <w:tcPr>
            <w:tcW w:w="1276"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0</w:t>
            </w: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47.295</w:t>
            </w: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Atención privada- No AIPI</w:t>
            </w:r>
          </w:p>
        </w:tc>
        <w:tc>
          <w:tcPr>
            <w:tcW w:w="1417"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0</w:t>
            </w:r>
          </w:p>
        </w:tc>
        <w:tc>
          <w:tcPr>
            <w:tcW w:w="1418"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26.578</w:t>
            </w:r>
          </w:p>
        </w:tc>
        <w:tc>
          <w:tcPr>
            <w:tcW w:w="1559"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34.786</w:t>
            </w:r>
          </w:p>
        </w:tc>
        <w:tc>
          <w:tcPr>
            <w:tcW w:w="1276"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44.575</w:t>
            </w: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105.939</w:t>
            </w: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Jardines infantiles privados- AIPI</w:t>
            </w:r>
          </w:p>
        </w:tc>
        <w:tc>
          <w:tcPr>
            <w:tcW w:w="1417"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5.360</w:t>
            </w:r>
          </w:p>
        </w:tc>
        <w:tc>
          <w:tcPr>
            <w:tcW w:w="1418"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14.554</w:t>
            </w:r>
          </w:p>
        </w:tc>
        <w:tc>
          <w:tcPr>
            <w:tcW w:w="1559"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14.219</w:t>
            </w:r>
          </w:p>
        </w:tc>
        <w:tc>
          <w:tcPr>
            <w:tcW w:w="1276"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16.011</w:t>
            </w: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50.144</w:t>
            </w: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Total cupos Distrito</w:t>
            </w:r>
          </w:p>
        </w:tc>
        <w:tc>
          <w:tcPr>
            <w:tcW w:w="1417"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23.168</w:t>
            </w:r>
          </w:p>
        </w:tc>
        <w:tc>
          <w:tcPr>
            <w:tcW w:w="1418"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55.815</w:t>
            </w:r>
          </w:p>
        </w:tc>
        <w:tc>
          <w:tcPr>
            <w:tcW w:w="1559"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70.164</w:t>
            </w:r>
          </w:p>
        </w:tc>
        <w:tc>
          <w:tcPr>
            <w:tcW w:w="1276"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115.947</w:t>
            </w: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265.094</w:t>
            </w: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Porcentaje de cobertura</w:t>
            </w:r>
          </w:p>
        </w:tc>
        <w:tc>
          <w:tcPr>
            <w:tcW w:w="1417"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6%</w:t>
            </w:r>
          </w:p>
        </w:tc>
        <w:tc>
          <w:tcPr>
            <w:tcW w:w="1418"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47%</w:t>
            </w:r>
          </w:p>
        </w:tc>
        <w:tc>
          <w:tcPr>
            <w:tcW w:w="1559"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59%</w:t>
            </w:r>
          </w:p>
        </w:tc>
        <w:tc>
          <w:tcPr>
            <w:tcW w:w="1276"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98%</w:t>
            </w: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37%</w:t>
            </w: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Cobertura ICBF</w:t>
            </w:r>
          </w:p>
        </w:tc>
        <w:tc>
          <w:tcPr>
            <w:tcW w:w="5670" w:type="dxa"/>
            <w:gridSpan w:val="4"/>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A la fecha esta cobertura no se encuentra distribuida por rangos de edad</w:t>
            </w: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110.000</w:t>
            </w: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Total cobertura general</w:t>
            </w:r>
          </w:p>
        </w:tc>
        <w:tc>
          <w:tcPr>
            <w:tcW w:w="5670" w:type="dxa"/>
            <w:gridSpan w:val="4"/>
          </w:tcPr>
          <w:p w:rsidR="00945085" w:rsidRPr="00BA20B4" w:rsidRDefault="00945085" w:rsidP="00DD40EE">
            <w:pPr>
              <w:pStyle w:val="Default"/>
              <w:jc w:val="both"/>
              <w:rPr>
                <w:rFonts w:ascii="Times New Roman" w:hAnsi="Times New Roman"/>
                <w:sz w:val="20"/>
              </w:rPr>
            </w:pP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375.094</w:t>
            </w:r>
          </w:p>
        </w:tc>
      </w:tr>
      <w:tr w:rsidR="00945085" w:rsidRPr="00BA20B4">
        <w:tc>
          <w:tcPr>
            <w:tcW w:w="2093" w:type="dxa"/>
          </w:tcPr>
          <w:p w:rsidR="00945085" w:rsidRPr="00BA20B4" w:rsidRDefault="00945085" w:rsidP="00DD40EE">
            <w:pPr>
              <w:pStyle w:val="Default"/>
              <w:jc w:val="both"/>
              <w:rPr>
                <w:rFonts w:ascii="Times New Roman" w:hAnsi="Times New Roman"/>
                <w:sz w:val="20"/>
              </w:rPr>
            </w:pPr>
            <w:r w:rsidRPr="00BA20B4">
              <w:rPr>
                <w:rFonts w:ascii="Times New Roman" w:hAnsi="Times New Roman"/>
                <w:sz w:val="20"/>
              </w:rPr>
              <w:t>Porcentaje cobertura general</w:t>
            </w:r>
          </w:p>
        </w:tc>
        <w:tc>
          <w:tcPr>
            <w:tcW w:w="5670" w:type="dxa"/>
            <w:gridSpan w:val="4"/>
          </w:tcPr>
          <w:p w:rsidR="00945085" w:rsidRPr="00BA20B4" w:rsidRDefault="00945085" w:rsidP="00DD40EE">
            <w:pPr>
              <w:pStyle w:val="Default"/>
              <w:jc w:val="both"/>
              <w:rPr>
                <w:rFonts w:ascii="Times New Roman" w:hAnsi="Times New Roman"/>
                <w:sz w:val="20"/>
              </w:rPr>
            </w:pPr>
          </w:p>
        </w:tc>
        <w:tc>
          <w:tcPr>
            <w:tcW w:w="1215" w:type="dxa"/>
          </w:tcPr>
          <w:p w:rsidR="00945085" w:rsidRPr="00BA20B4" w:rsidRDefault="00945085" w:rsidP="00DD40EE">
            <w:pPr>
              <w:pStyle w:val="Default"/>
              <w:jc w:val="center"/>
              <w:rPr>
                <w:rFonts w:ascii="Times New Roman" w:hAnsi="Times New Roman"/>
                <w:sz w:val="20"/>
              </w:rPr>
            </w:pPr>
            <w:r w:rsidRPr="00BA20B4">
              <w:rPr>
                <w:rFonts w:ascii="Times New Roman" w:hAnsi="Times New Roman"/>
                <w:sz w:val="20"/>
              </w:rPr>
              <w:t>52%</w:t>
            </w:r>
          </w:p>
        </w:tc>
      </w:tr>
    </w:tbl>
    <w:p w:rsidR="00945085" w:rsidRPr="000C53B6" w:rsidRDefault="00945085" w:rsidP="00945085">
      <w:pPr>
        <w:pStyle w:val="Default"/>
        <w:jc w:val="both"/>
        <w:rPr>
          <w:rFonts w:ascii="Times New Roman" w:hAnsi="Times New Roman"/>
          <w:sz w:val="18"/>
          <w:szCs w:val="22"/>
        </w:rPr>
      </w:pPr>
      <w:r w:rsidRPr="000C53B6">
        <w:rPr>
          <w:rFonts w:ascii="Times New Roman" w:hAnsi="Times New Roman"/>
          <w:sz w:val="18"/>
          <w:szCs w:val="22"/>
        </w:rPr>
        <w:t xml:space="preserve">Fuente: </w:t>
      </w:r>
      <w:r w:rsidRPr="000C53B6">
        <w:rPr>
          <w:rFonts w:ascii="Times New Roman" w:hAnsi="Times New Roman"/>
          <w:bCs/>
          <w:color w:val="1A1A1A"/>
          <w:sz w:val="18"/>
          <w:szCs w:val="22"/>
        </w:rPr>
        <w:t>DANE. Proyección de Población, Censo 2005. Informe CONFIS 2011. Informes oficinas de Planeación SED,ICBF</w:t>
      </w:r>
      <w:r w:rsidR="000C53B6" w:rsidRPr="000C53B6">
        <w:rPr>
          <w:rFonts w:ascii="Times New Roman" w:hAnsi="Times New Roman"/>
          <w:bCs/>
          <w:color w:val="1A1A1A"/>
          <w:sz w:val="18"/>
          <w:szCs w:val="22"/>
        </w:rPr>
        <w:t>.</w:t>
      </w:r>
    </w:p>
    <w:p w:rsidR="00945085" w:rsidRPr="00BA20B4" w:rsidRDefault="00945085" w:rsidP="005A5B0C">
      <w:pPr>
        <w:rPr>
          <w:rFonts w:ascii="Times New Roman" w:hAnsi="Times New Roman"/>
        </w:rPr>
      </w:pPr>
    </w:p>
    <w:p w:rsidR="001D47A6" w:rsidRDefault="005A5B0C" w:rsidP="001D47A6">
      <w:pPr>
        <w:jc w:val="both"/>
        <w:rPr>
          <w:rFonts w:ascii="Times New Roman" w:hAnsi="Times New Roman"/>
        </w:rPr>
      </w:pPr>
      <w:bookmarkStart w:id="17" w:name="_Toc334449006"/>
      <w:r w:rsidRPr="00BA20B4">
        <w:rPr>
          <w:rFonts w:ascii="Times New Roman" w:hAnsi="Times New Roman"/>
        </w:rPr>
        <w:t>Inclusión</w:t>
      </w:r>
      <w:bookmarkEnd w:id="17"/>
      <w:r w:rsidR="0000240C">
        <w:rPr>
          <w:rFonts w:ascii="Times New Roman" w:hAnsi="Times New Roman"/>
        </w:rPr>
        <w:t xml:space="preserve">. </w:t>
      </w:r>
      <w:r w:rsidRPr="00BA20B4">
        <w:rPr>
          <w:rFonts w:ascii="Times New Roman" w:hAnsi="Times New Roman"/>
        </w:rPr>
        <w:t xml:space="preserve">El servicio educativo oficial atiende principalmente a la población </w:t>
      </w:r>
      <w:r w:rsidR="00AB6AB5">
        <w:rPr>
          <w:rFonts w:ascii="Times New Roman" w:hAnsi="Times New Roman"/>
        </w:rPr>
        <w:t>de menores ingresos</w:t>
      </w:r>
      <w:r w:rsidRPr="00BA20B4">
        <w:rPr>
          <w:rFonts w:ascii="Times New Roman" w:hAnsi="Times New Roman"/>
        </w:rPr>
        <w:t xml:space="preserve"> y tiene políticas de inclusión de la población</w:t>
      </w:r>
      <w:r w:rsidR="00AB6AB5">
        <w:rPr>
          <w:rFonts w:ascii="Times New Roman" w:hAnsi="Times New Roman"/>
        </w:rPr>
        <w:t xml:space="preserve"> en situación de desplazamiento, con necesidades educativas especiales y perteneciente a</w:t>
      </w:r>
      <w:r w:rsidRPr="00BA20B4">
        <w:rPr>
          <w:rFonts w:ascii="Times New Roman" w:hAnsi="Times New Roman"/>
        </w:rPr>
        <w:t xml:space="preserve"> los grupos étnicos</w:t>
      </w:r>
      <w:r w:rsidR="00A86273">
        <w:rPr>
          <w:rStyle w:val="Refdenotaalpie"/>
          <w:rFonts w:ascii="Times New Roman" w:hAnsi="Times New Roman"/>
        </w:rPr>
        <w:footnoteReference w:id="71"/>
      </w:r>
      <w:r w:rsidRPr="00BA20B4">
        <w:rPr>
          <w:rFonts w:ascii="Times New Roman" w:hAnsi="Times New Roman"/>
        </w:rPr>
        <w:t>.Al analizar la matrícula</w:t>
      </w:r>
      <w:r w:rsidRPr="00BA20B4">
        <w:rPr>
          <w:rStyle w:val="Refdenotaalpie"/>
          <w:rFonts w:ascii="Times New Roman" w:hAnsi="Times New Roman"/>
        </w:rPr>
        <w:footnoteReference w:id="72"/>
      </w:r>
      <w:r w:rsidRPr="00BA20B4">
        <w:rPr>
          <w:rFonts w:ascii="Times New Roman" w:hAnsi="Times New Roman"/>
        </w:rPr>
        <w:t xml:space="preserve"> de 2012 por nivel de SISBEN se observa</w:t>
      </w:r>
      <w:r w:rsidR="00D50E21">
        <w:rPr>
          <w:rFonts w:ascii="Times New Roman" w:hAnsi="Times New Roman"/>
        </w:rPr>
        <w:t>, por ejemplo,</w:t>
      </w:r>
      <w:r w:rsidRPr="00BA20B4">
        <w:rPr>
          <w:rFonts w:ascii="Times New Roman" w:hAnsi="Times New Roman"/>
        </w:rPr>
        <w:t xml:space="preserve"> que el 36.3% de los estudiantes adscritos al sistema se concentran en los niveles 1 y 2</w:t>
      </w:r>
      <w:r w:rsidR="00AB6AB5">
        <w:rPr>
          <w:rFonts w:ascii="Times New Roman" w:hAnsi="Times New Roman"/>
        </w:rPr>
        <w:t xml:space="preserve"> y </w:t>
      </w:r>
      <w:r w:rsidRPr="00BA20B4">
        <w:rPr>
          <w:rFonts w:ascii="Times New Roman" w:hAnsi="Times New Roman"/>
        </w:rPr>
        <w:t>el 70% proviene de los estratos 1 y 2</w:t>
      </w:r>
      <w:r w:rsidR="00A4455E">
        <w:rPr>
          <w:rFonts w:ascii="Times New Roman" w:hAnsi="Times New Roman"/>
        </w:rPr>
        <w:t>.</w:t>
      </w:r>
    </w:p>
    <w:p w:rsidR="00F53DF6" w:rsidDel="00F53DF6" w:rsidRDefault="00F53DF6" w:rsidP="001D47A6">
      <w:pPr>
        <w:jc w:val="both"/>
        <w:rPr>
          <w:rFonts w:ascii="Times New Roman" w:hAnsi="Times New Roman"/>
        </w:rPr>
      </w:pPr>
    </w:p>
    <w:p w:rsidR="001D47A6" w:rsidRPr="00BA20B4" w:rsidRDefault="001D47A6" w:rsidP="001D47A6">
      <w:pPr>
        <w:pStyle w:val="Textoindependiente2"/>
        <w:tabs>
          <w:tab w:val="left" w:pos="851"/>
        </w:tabs>
        <w:rPr>
          <w:rFonts w:ascii="Times New Roman" w:hAnsi="Times New Roman"/>
          <w:sz w:val="24"/>
          <w:szCs w:val="22"/>
        </w:rPr>
      </w:pPr>
      <w:r w:rsidRPr="00BA20B4">
        <w:rPr>
          <w:rFonts w:ascii="Times New Roman" w:hAnsi="Times New Roman"/>
          <w:sz w:val="24"/>
        </w:rPr>
        <w:t>Adicionalmente, Bogotá se ha constituido en la entidad territorial que mayor cantidad de población</w:t>
      </w:r>
      <w:r w:rsidR="002F0BEB">
        <w:rPr>
          <w:rFonts w:ascii="Times New Roman" w:hAnsi="Times New Roman"/>
          <w:sz w:val="24"/>
        </w:rPr>
        <w:t xml:space="preserve"> </w:t>
      </w:r>
      <w:r w:rsidRPr="00BA20B4">
        <w:rPr>
          <w:rFonts w:ascii="Times New Roman" w:hAnsi="Times New Roman"/>
          <w:sz w:val="24"/>
        </w:rPr>
        <w:t>en situación de desplazamiento, desvinculada de grupos armados o desmovilizada, acoge en el país, y la Secretaría de Educación del Distrito ha incrementado año tras año la vinculación y permanencia de estudiantes en esta situación, brindando una atención integral. Al inicio de la Administración Bogotá Positiva, en el año 2008, se registraron 23.258 estudiantes y para el año 201</w:t>
      </w:r>
      <w:r w:rsidR="00A505DE">
        <w:rPr>
          <w:rFonts w:ascii="Times New Roman" w:hAnsi="Times New Roman"/>
          <w:sz w:val="24"/>
        </w:rPr>
        <w:t>1</w:t>
      </w:r>
      <w:r w:rsidR="002A0C98">
        <w:rPr>
          <w:rFonts w:ascii="Times New Roman" w:hAnsi="Times New Roman"/>
          <w:sz w:val="24"/>
        </w:rPr>
        <w:t xml:space="preserve"> la atención fue</w:t>
      </w:r>
      <w:r w:rsidRPr="00BA20B4">
        <w:rPr>
          <w:rFonts w:ascii="Times New Roman" w:hAnsi="Times New Roman"/>
          <w:sz w:val="24"/>
        </w:rPr>
        <w:t xml:space="preserve"> de 36.7</w:t>
      </w:r>
      <w:r w:rsidR="00A505DE">
        <w:rPr>
          <w:rFonts w:ascii="Times New Roman" w:hAnsi="Times New Roman"/>
          <w:sz w:val="24"/>
        </w:rPr>
        <w:t>5</w:t>
      </w:r>
      <w:r w:rsidRPr="00BA20B4">
        <w:rPr>
          <w:rFonts w:ascii="Times New Roman" w:hAnsi="Times New Roman"/>
          <w:sz w:val="24"/>
        </w:rPr>
        <w:t xml:space="preserve">8 (de los cuales 35.888 corresponden a hijos de familias desplazadas), un incremento del 58,1%.  </w:t>
      </w:r>
    </w:p>
    <w:p w:rsidR="00E8193D" w:rsidRDefault="00E8193D" w:rsidP="001D47A6">
      <w:pPr>
        <w:jc w:val="both"/>
        <w:rPr>
          <w:rFonts w:ascii="Times New Roman" w:hAnsi="Times New Roman" w:cs="Lucida Sans"/>
          <w:color w:val="000000"/>
          <w:szCs w:val="17"/>
        </w:rPr>
      </w:pPr>
    </w:p>
    <w:p w:rsidR="00E8193D" w:rsidRDefault="00E8193D" w:rsidP="001D47A6">
      <w:pPr>
        <w:jc w:val="both"/>
        <w:rPr>
          <w:rFonts w:ascii="Times New Roman" w:hAnsi="Times New Roman" w:cs="Lucida Sans"/>
          <w:color w:val="000000"/>
          <w:szCs w:val="17"/>
        </w:rPr>
      </w:pPr>
    </w:p>
    <w:p w:rsidR="00E8193D" w:rsidRDefault="00E8193D" w:rsidP="001D47A6">
      <w:pPr>
        <w:jc w:val="both"/>
        <w:rPr>
          <w:rFonts w:ascii="Times New Roman" w:hAnsi="Times New Roman" w:cs="Lucida Sans"/>
          <w:color w:val="000000"/>
          <w:szCs w:val="17"/>
        </w:rPr>
      </w:pPr>
    </w:p>
    <w:p w:rsidR="00285801" w:rsidRDefault="00285801" w:rsidP="001D47A6">
      <w:pPr>
        <w:jc w:val="both"/>
        <w:rPr>
          <w:rFonts w:ascii="Times New Roman" w:hAnsi="Times New Roman" w:cs="Lucida Sans"/>
          <w:color w:val="000000"/>
          <w:szCs w:val="17"/>
        </w:rPr>
      </w:pPr>
    </w:p>
    <w:tbl>
      <w:tblPr>
        <w:tblW w:w="7245" w:type="dxa"/>
        <w:jc w:val="center"/>
        <w:tblCellMar>
          <w:left w:w="70" w:type="dxa"/>
          <w:right w:w="70" w:type="dxa"/>
        </w:tblCellMar>
        <w:tblLook w:val="04A0" w:firstRow="1" w:lastRow="0" w:firstColumn="1" w:lastColumn="0" w:noHBand="0" w:noVBand="1"/>
      </w:tblPr>
      <w:tblGrid>
        <w:gridCol w:w="2696"/>
        <w:gridCol w:w="1043"/>
        <w:gridCol w:w="1351"/>
        <w:gridCol w:w="1239"/>
        <w:gridCol w:w="916"/>
      </w:tblGrid>
      <w:tr w:rsidR="00285801" w:rsidRPr="00416027">
        <w:trPr>
          <w:trHeight w:val="20"/>
          <w:jc w:val="center"/>
        </w:trPr>
        <w:tc>
          <w:tcPr>
            <w:tcW w:w="7245" w:type="dxa"/>
            <w:gridSpan w:val="5"/>
            <w:tcBorders>
              <w:top w:val="nil"/>
              <w:left w:val="nil"/>
              <w:bottom w:val="nil"/>
              <w:right w:val="nil"/>
            </w:tcBorders>
            <w:shd w:val="clear" w:color="000000" w:fill="FFFFFF"/>
            <w:vAlign w:val="bottom"/>
          </w:tcPr>
          <w:p w:rsidR="00285801" w:rsidRPr="00416027" w:rsidRDefault="00285801" w:rsidP="00285801">
            <w:pPr>
              <w:pStyle w:val="Epgrafe"/>
              <w:rPr>
                <w:rFonts w:cs="Calibri"/>
                <w:color w:val="000000"/>
                <w:lang w:eastAsia="es-CO"/>
              </w:rPr>
            </w:pPr>
            <w:r w:rsidRPr="00416027">
              <w:lastRenderedPageBreak/>
              <w:t>Tabla</w:t>
            </w:r>
            <w:r w:rsidR="00E8193D">
              <w:t xml:space="preserve"> 9</w:t>
            </w:r>
            <w:r w:rsidR="0057281C">
              <w:t xml:space="preserve">. </w:t>
            </w:r>
            <w:r w:rsidRPr="00416027">
              <w:rPr>
                <w:rFonts w:cs="Calibri"/>
                <w:color w:val="000000"/>
                <w:lang w:eastAsia="es-CO"/>
              </w:rPr>
              <w:t>Matrícula oficial de población en situación de desplazamiento, desvinculados de grupos armados e hijos de desmovilizados. Bogotá, 2011</w:t>
            </w:r>
          </w:p>
        </w:tc>
      </w:tr>
      <w:tr w:rsidR="00285801" w:rsidRPr="00416027">
        <w:trPr>
          <w:trHeight w:val="20"/>
          <w:jc w:val="center"/>
        </w:trPr>
        <w:tc>
          <w:tcPr>
            <w:tcW w:w="2696" w:type="dxa"/>
            <w:vMerge w:val="restart"/>
            <w:tcBorders>
              <w:top w:val="single" w:sz="4" w:space="0" w:color="auto"/>
              <w:left w:val="nil"/>
              <w:bottom w:val="single" w:sz="4" w:space="0" w:color="000000"/>
              <w:right w:val="single" w:sz="4" w:space="0" w:color="auto"/>
            </w:tcBorders>
            <w:shd w:val="clear" w:color="000000" w:fill="D8D8D8"/>
            <w:noWrap/>
            <w:vAlign w:val="bottom"/>
          </w:tcPr>
          <w:p w:rsidR="00285801" w:rsidRPr="00416027" w:rsidRDefault="00285801" w:rsidP="004F01E6">
            <w:pPr>
              <w:jc w:val="center"/>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Grupo poblacional</w:t>
            </w:r>
          </w:p>
        </w:tc>
        <w:tc>
          <w:tcPr>
            <w:tcW w:w="3633" w:type="dxa"/>
            <w:gridSpan w:val="3"/>
            <w:tcBorders>
              <w:top w:val="single" w:sz="4" w:space="0" w:color="auto"/>
              <w:left w:val="nil"/>
              <w:bottom w:val="single" w:sz="4" w:space="0" w:color="auto"/>
              <w:right w:val="single" w:sz="4" w:space="0" w:color="000000"/>
            </w:tcBorders>
            <w:shd w:val="clear" w:color="000000" w:fill="D8D8D8"/>
            <w:noWrap/>
            <w:vAlign w:val="bottom"/>
          </w:tcPr>
          <w:p w:rsidR="00285801" w:rsidRPr="00416027" w:rsidRDefault="00285801" w:rsidP="004F01E6">
            <w:pPr>
              <w:jc w:val="center"/>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Tipo de colegio</w:t>
            </w:r>
          </w:p>
        </w:tc>
        <w:tc>
          <w:tcPr>
            <w:tcW w:w="916" w:type="dxa"/>
            <w:vMerge w:val="restart"/>
            <w:tcBorders>
              <w:top w:val="single" w:sz="4" w:space="0" w:color="auto"/>
              <w:left w:val="single" w:sz="4" w:space="0" w:color="auto"/>
              <w:bottom w:val="single" w:sz="4" w:space="0" w:color="000000"/>
              <w:right w:val="nil"/>
            </w:tcBorders>
            <w:shd w:val="clear" w:color="000000" w:fill="D8D8D8"/>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Total</w:t>
            </w:r>
          </w:p>
        </w:tc>
      </w:tr>
      <w:tr w:rsidR="00285801" w:rsidRPr="00416027">
        <w:trPr>
          <w:trHeight w:val="20"/>
          <w:jc w:val="center"/>
        </w:trPr>
        <w:tc>
          <w:tcPr>
            <w:tcW w:w="2696" w:type="dxa"/>
            <w:vMerge/>
            <w:tcBorders>
              <w:top w:val="single" w:sz="4" w:space="0" w:color="auto"/>
              <w:left w:val="nil"/>
              <w:bottom w:val="single" w:sz="4" w:space="0" w:color="000000"/>
              <w:right w:val="single" w:sz="4" w:space="0" w:color="auto"/>
            </w:tcBorders>
            <w:vAlign w:val="center"/>
          </w:tcPr>
          <w:p w:rsidR="00285801" w:rsidRPr="00416027" w:rsidRDefault="00285801" w:rsidP="004F01E6">
            <w:pPr>
              <w:rPr>
                <w:rFonts w:ascii="Times New Roman" w:eastAsia="Times New Roman" w:hAnsi="Times New Roman" w:cs="Calibri"/>
                <w:color w:val="000000"/>
                <w:sz w:val="18"/>
                <w:szCs w:val="18"/>
                <w:lang w:eastAsia="es-CO"/>
              </w:rPr>
            </w:pPr>
          </w:p>
        </w:tc>
        <w:tc>
          <w:tcPr>
            <w:tcW w:w="1043" w:type="dxa"/>
            <w:tcBorders>
              <w:top w:val="nil"/>
              <w:left w:val="nil"/>
              <w:bottom w:val="single" w:sz="4" w:space="0" w:color="auto"/>
              <w:right w:val="single" w:sz="4" w:space="0" w:color="auto"/>
            </w:tcBorders>
            <w:shd w:val="clear" w:color="000000" w:fill="D8D8D8"/>
            <w:noWrap/>
            <w:vAlign w:val="bottom"/>
          </w:tcPr>
          <w:p w:rsidR="00285801" w:rsidRPr="00416027" w:rsidRDefault="00285801" w:rsidP="004F01E6">
            <w:pPr>
              <w:jc w:val="center"/>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Distrital</w:t>
            </w:r>
          </w:p>
        </w:tc>
        <w:tc>
          <w:tcPr>
            <w:tcW w:w="1351" w:type="dxa"/>
            <w:tcBorders>
              <w:top w:val="nil"/>
              <w:left w:val="nil"/>
              <w:bottom w:val="single" w:sz="4" w:space="0" w:color="auto"/>
              <w:right w:val="single" w:sz="4" w:space="0" w:color="auto"/>
            </w:tcBorders>
            <w:shd w:val="clear" w:color="000000" w:fill="D8D8D8"/>
            <w:noWrap/>
            <w:vAlign w:val="bottom"/>
          </w:tcPr>
          <w:p w:rsidR="00285801" w:rsidRPr="00416027" w:rsidRDefault="00285801" w:rsidP="004F01E6">
            <w:pPr>
              <w:jc w:val="center"/>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Concesión</w:t>
            </w:r>
          </w:p>
        </w:tc>
        <w:tc>
          <w:tcPr>
            <w:tcW w:w="1239" w:type="dxa"/>
            <w:tcBorders>
              <w:top w:val="nil"/>
              <w:left w:val="nil"/>
              <w:bottom w:val="single" w:sz="4" w:space="0" w:color="auto"/>
              <w:right w:val="single" w:sz="4" w:space="0" w:color="auto"/>
            </w:tcBorders>
            <w:shd w:val="clear" w:color="000000" w:fill="D8D8D8"/>
            <w:noWrap/>
            <w:vAlign w:val="bottom"/>
          </w:tcPr>
          <w:p w:rsidR="00285801" w:rsidRPr="00416027" w:rsidRDefault="00285801" w:rsidP="004F01E6">
            <w:pPr>
              <w:jc w:val="center"/>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Convenio</w:t>
            </w:r>
          </w:p>
        </w:tc>
        <w:tc>
          <w:tcPr>
            <w:tcW w:w="916" w:type="dxa"/>
            <w:vMerge/>
            <w:tcBorders>
              <w:top w:val="single" w:sz="4" w:space="0" w:color="auto"/>
              <w:left w:val="single" w:sz="4" w:space="0" w:color="auto"/>
              <w:bottom w:val="single" w:sz="4" w:space="0" w:color="000000"/>
              <w:right w:val="nil"/>
            </w:tcBorders>
            <w:vAlign w:val="center"/>
          </w:tcPr>
          <w:p w:rsidR="00285801" w:rsidRPr="00416027" w:rsidRDefault="00285801" w:rsidP="004F01E6">
            <w:pPr>
              <w:rPr>
                <w:rFonts w:ascii="Times New Roman" w:eastAsia="Times New Roman" w:hAnsi="Times New Roman" w:cs="Calibri"/>
                <w:color w:val="000000"/>
                <w:sz w:val="18"/>
                <w:szCs w:val="18"/>
                <w:lang w:eastAsia="es-CO"/>
              </w:rPr>
            </w:pPr>
          </w:p>
        </w:tc>
      </w:tr>
      <w:tr w:rsidR="00285801" w:rsidRPr="00416027">
        <w:trPr>
          <w:trHeight w:val="20"/>
          <w:jc w:val="center"/>
        </w:trPr>
        <w:tc>
          <w:tcPr>
            <w:tcW w:w="2696" w:type="dxa"/>
            <w:tcBorders>
              <w:top w:val="nil"/>
              <w:left w:val="nil"/>
              <w:bottom w:val="nil"/>
              <w:right w:val="single" w:sz="4" w:space="0" w:color="auto"/>
            </w:tcBorders>
            <w:shd w:val="clear" w:color="000000" w:fill="FFFFFF"/>
            <w:noWrap/>
            <w:vAlign w:val="bottom"/>
          </w:tcPr>
          <w:p w:rsidR="00285801" w:rsidRPr="00416027" w:rsidRDefault="00285801" w:rsidP="004F01E6">
            <w:pPr>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En situación de desplazamiento</w:t>
            </w:r>
          </w:p>
        </w:tc>
        <w:tc>
          <w:tcPr>
            <w:tcW w:w="1043" w:type="dxa"/>
            <w:tcBorders>
              <w:top w:val="nil"/>
              <w:left w:val="nil"/>
              <w:bottom w:val="nil"/>
              <w:right w:val="single" w:sz="4" w:space="0" w:color="auto"/>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36.758</w:t>
            </w:r>
          </w:p>
        </w:tc>
        <w:tc>
          <w:tcPr>
            <w:tcW w:w="1351" w:type="dxa"/>
            <w:tcBorders>
              <w:top w:val="nil"/>
              <w:left w:val="nil"/>
              <w:bottom w:val="nil"/>
              <w:right w:val="single" w:sz="4" w:space="0" w:color="auto"/>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1.231</w:t>
            </w:r>
          </w:p>
        </w:tc>
        <w:tc>
          <w:tcPr>
            <w:tcW w:w="1239" w:type="dxa"/>
            <w:tcBorders>
              <w:top w:val="nil"/>
              <w:left w:val="nil"/>
              <w:bottom w:val="nil"/>
              <w:right w:val="single" w:sz="4" w:space="0" w:color="auto"/>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5.254</w:t>
            </w:r>
          </w:p>
        </w:tc>
        <w:tc>
          <w:tcPr>
            <w:tcW w:w="916" w:type="dxa"/>
            <w:tcBorders>
              <w:top w:val="nil"/>
              <w:left w:val="nil"/>
              <w:bottom w:val="nil"/>
              <w:right w:val="nil"/>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43.243</w:t>
            </w:r>
          </w:p>
        </w:tc>
      </w:tr>
      <w:tr w:rsidR="00285801" w:rsidRPr="00416027">
        <w:trPr>
          <w:trHeight w:val="20"/>
          <w:jc w:val="center"/>
        </w:trPr>
        <w:tc>
          <w:tcPr>
            <w:tcW w:w="2696" w:type="dxa"/>
            <w:tcBorders>
              <w:top w:val="nil"/>
              <w:left w:val="nil"/>
              <w:bottom w:val="nil"/>
              <w:right w:val="single" w:sz="4" w:space="0" w:color="auto"/>
            </w:tcBorders>
            <w:shd w:val="clear" w:color="000000" w:fill="FFFFFF"/>
            <w:noWrap/>
            <w:vAlign w:val="bottom"/>
          </w:tcPr>
          <w:p w:rsidR="00285801" w:rsidRPr="00416027" w:rsidRDefault="00285801" w:rsidP="004F01E6">
            <w:pPr>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Desvinculados de grupos armados</w:t>
            </w:r>
          </w:p>
        </w:tc>
        <w:tc>
          <w:tcPr>
            <w:tcW w:w="1043" w:type="dxa"/>
            <w:tcBorders>
              <w:top w:val="nil"/>
              <w:left w:val="nil"/>
              <w:bottom w:val="nil"/>
              <w:right w:val="single" w:sz="4" w:space="0" w:color="auto"/>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889</w:t>
            </w:r>
          </w:p>
        </w:tc>
        <w:tc>
          <w:tcPr>
            <w:tcW w:w="1351" w:type="dxa"/>
            <w:tcBorders>
              <w:top w:val="nil"/>
              <w:left w:val="nil"/>
              <w:bottom w:val="nil"/>
              <w:right w:val="single" w:sz="4" w:space="0" w:color="auto"/>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9</w:t>
            </w:r>
          </w:p>
        </w:tc>
        <w:tc>
          <w:tcPr>
            <w:tcW w:w="1239" w:type="dxa"/>
            <w:tcBorders>
              <w:top w:val="nil"/>
              <w:left w:val="nil"/>
              <w:bottom w:val="nil"/>
              <w:right w:val="single" w:sz="4" w:space="0" w:color="auto"/>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56</w:t>
            </w:r>
          </w:p>
        </w:tc>
        <w:tc>
          <w:tcPr>
            <w:tcW w:w="916" w:type="dxa"/>
            <w:tcBorders>
              <w:top w:val="nil"/>
              <w:left w:val="nil"/>
              <w:bottom w:val="nil"/>
              <w:right w:val="nil"/>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954</w:t>
            </w:r>
          </w:p>
        </w:tc>
      </w:tr>
      <w:tr w:rsidR="00285801" w:rsidRPr="00416027">
        <w:trPr>
          <w:trHeight w:val="20"/>
          <w:jc w:val="center"/>
        </w:trPr>
        <w:tc>
          <w:tcPr>
            <w:tcW w:w="2696" w:type="dxa"/>
            <w:tcBorders>
              <w:top w:val="nil"/>
              <w:left w:val="nil"/>
              <w:bottom w:val="nil"/>
              <w:right w:val="single" w:sz="4" w:space="0" w:color="auto"/>
            </w:tcBorders>
            <w:shd w:val="clear" w:color="000000" w:fill="FFFFFF"/>
            <w:noWrap/>
            <w:vAlign w:val="bottom"/>
          </w:tcPr>
          <w:p w:rsidR="00285801" w:rsidRPr="00416027" w:rsidRDefault="00285801" w:rsidP="004F01E6">
            <w:pPr>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Hijos de adultos desmovilizados</w:t>
            </w:r>
          </w:p>
        </w:tc>
        <w:tc>
          <w:tcPr>
            <w:tcW w:w="1043" w:type="dxa"/>
            <w:tcBorders>
              <w:top w:val="nil"/>
              <w:left w:val="nil"/>
              <w:bottom w:val="nil"/>
              <w:right w:val="single" w:sz="4" w:space="0" w:color="auto"/>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260</w:t>
            </w:r>
          </w:p>
        </w:tc>
        <w:tc>
          <w:tcPr>
            <w:tcW w:w="1351" w:type="dxa"/>
            <w:tcBorders>
              <w:top w:val="nil"/>
              <w:left w:val="nil"/>
              <w:bottom w:val="nil"/>
              <w:right w:val="single" w:sz="4" w:space="0" w:color="auto"/>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7</w:t>
            </w:r>
          </w:p>
        </w:tc>
        <w:tc>
          <w:tcPr>
            <w:tcW w:w="1239" w:type="dxa"/>
            <w:tcBorders>
              <w:top w:val="nil"/>
              <w:left w:val="nil"/>
              <w:bottom w:val="nil"/>
              <w:right w:val="single" w:sz="4" w:space="0" w:color="auto"/>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56</w:t>
            </w:r>
          </w:p>
        </w:tc>
        <w:tc>
          <w:tcPr>
            <w:tcW w:w="916" w:type="dxa"/>
            <w:tcBorders>
              <w:top w:val="nil"/>
              <w:left w:val="nil"/>
              <w:bottom w:val="nil"/>
              <w:right w:val="nil"/>
            </w:tcBorders>
            <w:shd w:val="clear" w:color="000000" w:fill="FFFFFF"/>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323</w:t>
            </w:r>
          </w:p>
        </w:tc>
      </w:tr>
      <w:tr w:rsidR="00285801" w:rsidRPr="00416027">
        <w:trPr>
          <w:trHeight w:val="20"/>
          <w:jc w:val="center"/>
        </w:trPr>
        <w:tc>
          <w:tcPr>
            <w:tcW w:w="2696" w:type="dxa"/>
            <w:tcBorders>
              <w:top w:val="single" w:sz="4" w:space="0" w:color="auto"/>
              <w:left w:val="nil"/>
              <w:bottom w:val="single" w:sz="4" w:space="0" w:color="auto"/>
              <w:right w:val="single" w:sz="4" w:space="0" w:color="auto"/>
            </w:tcBorders>
            <w:shd w:val="clear" w:color="000000" w:fill="D8D8D8"/>
            <w:noWrap/>
            <w:vAlign w:val="bottom"/>
          </w:tcPr>
          <w:p w:rsidR="00285801" w:rsidRPr="00416027" w:rsidRDefault="00285801" w:rsidP="004F01E6">
            <w:pPr>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Total</w:t>
            </w:r>
          </w:p>
        </w:tc>
        <w:tc>
          <w:tcPr>
            <w:tcW w:w="1043" w:type="dxa"/>
            <w:tcBorders>
              <w:top w:val="single" w:sz="4" w:space="0" w:color="auto"/>
              <w:left w:val="nil"/>
              <w:bottom w:val="single" w:sz="4" w:space="0" w:color="auto"/>
              <w:right w:val="single" w:sz="4" w:space="0" w:color="auto"/>
            </w:tcBorders>
            <w:shd w:val="clear" w:color="000000" w:fill="D8D8D8"/>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37.907</w:t>
            </w:r>
          </w:p>
        </w:tc>
        <w:tc>
          <w:tcPr>
            <w:tcW w:w="1351" w:type="dxa"/>
            <w:tcBorders>
              <w:top w:val="single" w:sz="4" w:space="0" w:color="auto"/>
              <w:left w:val="nil"/>
              <w:bottom w:val="single" w:sz="4" w:space="0" w:color="auto"/>
              <w:right w:val="single" w:sz="4" w:space="0" w:color="auto"/>
            </w:tcBorders>
            <w:shd w:val="clear" w:color="000000" w:fill="D8D8D8"/>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1.247</w:t>
            </w:r>
          </w:p>
        </w:tc>
        <w:tc>
          <w:tcPr>
            <w:tcW w:w="1239" w:type="dxa"/>
            <w:tcBorders>
              <w:top w:val="single" w:sz="4" w:space="0" w:color="auto"/>
              <w:left w:val="nil"/>
              <w:bottom w:val="single" w:sz="4" w:space="0" w:color="auto"/>
              <w:right w:val="single" w:sz="4" w:space="0" w:color="auto"/>
            </w:tcBorders>
            <w:shd w:val="clear" w:color="000000" w:fill="D8D8D8"/>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5.366</w:t>
            </w:r>
          </w:p>
        </w:tc>
        <w:tc>
          <w:tcPr>
            <w:tcW w:w="916" w:type="dxa"/>
            <w:tcBorders>
              <w:top w:val="single" w:sz="4" w:space="0" w:color="auto"/>
              <w:left w:val="nil"/>
              <w:bottom w:val="single" w:sz="4" w:space="0" w:color="auto"/>
              <w:right w:val="nil"/>
            </w:tcBorders>
            <w:shd w:val="clear" w:color="000000" w:fill="D8D8D8"/>
            <w:noWrap/>
            <w:vAlign w:val="bottom"/>
          </w:tcPr>
          <w:p w:rsidR="00285801" w:rsidRPr="00416027" w:rsidRDefault="00285801" w:rsidP="004F01E6">
            <w:pPr>
              <w:jc w:val="right"/>
              <w:rPr>
                <w:rFonts w:ascii="Times New Roman" w:eastAsia="Times New Roman" w:hAnsi="Times New Roman" w:cs="Calibri"/>
                <w:color w:val="000000"/>
                <w:sz w:val="18"/>
                <w:szCs w:val="18"/>
                <w:lang w:eastAsia="es-CO"/>
              </w:rPr>
            </w:pPr>
            <w:r w:rsidRPr="00416027">
              <w:rPr>
                <w:rFonts w:ascii="Times New Roman" w:eastAsia="Times New Roman" w:hAnsi="Times New Roman" w:cs="Calibri"/>
                <w:color w:val="000000"/>
                <w:sz w:val="18"/>
                <w:szCs w:val="18"/>
                <w:lang w:eastAsia="es-CO"/>
              </w:rPr>
              <w:t>44.520</w:t>
            </w:r>
          </w:p>
        </w:tc>
      </w:tr>
      <w:tr w:rsidR="00285801" w:rsidRPr="00416027">
        <w:trPr>
          <w:trHeight w:val="20"/>
          <w:jc w:val="center"/>
        </w:trPr>
        <w:tc>
          <w:tcPr>
            <w:tcW w:w="7245" w:type="dxa"/>
            <w:gridSpan w:val="5"/>
            <w:tcBorders>
              <w:top w:val="nil"/>
              <w:left w:val="nil"/>
              <w:bottom w:val="nil"/>
              <w:right w:val="nil"/>
            </w:tcBorders>
            <w:shd w:val="clear" w:color="000000" w:fill="FFFFFF"/>
            <w:vAlign w:val="bottom"/>
          </w:tcPr>
          <w:p w:rsidR="00285801" w:rsidRPr="00416027" w:rsidRDefault="00285801" w:rsidP="004F01E6">
            <w:pPr>
              <w:rPr>
                <w:rFonts w:ascii="Times New Roman" w:eastAsia="Times New Roman" w:hAnsi="Times New Roman" w:cs="Calibri"/>
                <w:color w:val="000000"/>
                <w:sz w:val="16"/>
                <w:szCs w:val="16"/>
                <w:lang w:eastAsia="es-CO"/>
              </w:rPr>
            </w:pPr>
            <w:r w:rsidRPr="00416027">
              <w:rPr>
                <w:rFonts w:ascii="Times New Roman" w:eastAsia="Times New Roman" w:hAnsi="Times New Roman" w:cs="Calibri"/>
                <w:color w:val="000000"/>
                <w:sz w:val="16"/>
                <w:szCs w:val="16"/>
                <w:lang w:eastAsia="es-CO"/>
              </w:rPr>
              <w:t>Fuente: SED. Sistema de Matrícula. Fecha de corte, febrero 11 de 2011. Cifras preliminares. En: Caracterización sector educativo. Año 2011</w:t>
            </w:r>
          </w:p>
        </w:tc>
      </w:tr>
    </w:tbl>
    <w:p w:rsidR="008E59EC" w:rsidRDefault="008E59EC">
      <w:pPr>
        <w:ind w:firstLine="708"/>
        <w:jc w:val="both"/>
        <w:rPr>
          <w:rFonts w:ascii="Times New Roman" w:hAnsi="Times New Roman" w:cs="Lucida Sans"/>
          <w:color w:val="000000"/>
          <w:szCs w:val="17"/>
        </w:rPr>
      </w:pPr>
    </w:p>
    <w:p w:rsidR="005A5B0C" w:rsidRPr="00BA20B4" w:rsidRDefault="005A5B0C" w:rsidP="005A5B0C">
      <w:pPr>
        <w:pStyle w:val="Textoindependiente2"/>
        <w:tabs>
          <w:tab w:val="left" w:pos="851"/>
        </w:tabs>
        <w:rPr>
          <w:rFonts w:ascii="Times New Roman" w:hAnsi="Times New Roman"/>
          <w:sz w:val="22"/>
          <w:szCs w:val="22"/>
        </w:rPr>
      </w:pPr>
    </w:p>
    <w:p w:rsidR="005A5B0C" w:rsidRDefault="005A5B0C" w:rsidP="005A5B0C">
      <w:pPr>
        <w:pStyle w:val="Textoindependiente2"/>
        <w:tabs>
          <w:tab w:val="left" w:pos="851"/>
        </w:tabs>
        <w:rPr>
          <w:rFonts w:ascii="Times New Roman" w:hAnsi="Times New Roman"/>
          <w:sz w:val="24"/>
          <w:szCs w:val="22"/>
        </w:rPr>
      </w:pPr>
      <w:r w:rsidRPr="00BA20B4">
        <w:rPr>
          <w:rFonts w:ascii="Times New Roman" w:hAnsi="Times New Roman"/>
          <w:sz w:val="24"/>
          <w:szCs w:val="22"/>
        </w:rPr>
        <w:t xml:space="preserve">La atención a personas menores de 18 años </w:t>
      </w:r>
      <w:r w:rsidRPr="00BA20B4">
        <w:rPr>
          <w:rFonts w:ascii="Times New Roman" w:eastAsia="Calibri" w:hAnsi="Times New Roman"/>
          <w:sz w:val="24"/>
        </w:rPr>
        <w:t>pertenecientes a grupos étnicos y con necesidades educativas especiales</w:t>
      </w:r>
      <w:r w:rsidRPr="00BA20B4">
        <w:rPr>
          <w:rFonts w:ascii="Times New Roman" w:hAnsi="Times New Roman"/>
          <w:sz w:val="24"/>
          <w:szCs w:val="22"/>
        </w:rPr>
        <w:t>,</w:t>
      </w:r>
      <w:r w:rsidR="00086BA4">
        <w:rPr>
          <w:rStyle w:val="Refdenotaalpie"/>
          <w:rFonts w:ascii="Times New Roman" w:hAnsi="Times New Roman"/>
          <w:sz w:val="24"/>
          <w:szCs w:val="22"/>
        </w:rPr>
        <w:footnoteReference w:id="73"/>
      </w:r>
      <w:r w:rsidRPr="00BA20B4">
        <w:rPr>
          <w:rFonts w:ascii="Times New Roman" w:hAnsi="Times New Roman"/>
          <w:sz w:val="24"/>
          <w:szCs w:val="22"/>
        </w:rPr>
        <w:t xml:space="preserve"> aunque no supera el 1% del </w:t>
      </w:r>
      <w:r w:rsidR="000B54FB">
        <w:rPr>
          <w:rFonts w:ascii="Times New Roman" w:hAnsi="Times New Roman"/>
          <w:sz w:val="24"/>
          <w:szCs w:val="22"/>
        </w:rPr>
        <w:t>total de la matrícula, indica la operación de</w:t>
      </w:r>
      <w:r w:rsidRPr="00BA20B4">
        <w:rPr>
          <w:rFonts w:ascii="Times New Roman" w:hAnsi="Times New Roman"/>
          <w:sz w:val="24"/>
          <w:szCs w:val="22"/>
        </w:rPr>
        <w:t xml:space="preserve"> un enfoque diferencial.</w:t>
      </w:r>
      <w:r w:rsidR="005E180E">
        <w:rPr>
          <w:rStyle w:val="Refdenotaalpie"/>
          <w:rFonts w:ascii="Times New Roman" w:hAnsi="Times New Roman"/>
          <w:sz w:val="24"/>
          <w:szCs w:val="22"/>
        </w:rPr>
        <w:footnoteReference w:id="74"/>
      </w:r>
    </w:p>
    <w:p w:rsidR="00DC28B2" w:rsidRDefault="00DC28B2" w:rsidP="005A5B0C">
      <w:pPr>
        <w:pStyle w:val="Textoindependiente2"/>
        <w:tabs>
          <w:tab w:val="left" w:pos="851"/>
        </w:tabs>
        <w:rPr>
          <w:rFonts w:ascii="Times New Roman" w:hAnsi="Times New Roman"/>
          <w:sz w:val="24"/>
          <w:szCs w:val="22"/>
        </w:rPr>
      </w:pPr>
    </w:p>
    <w:tbl>
      <w:tblPr>
        <w:tblW w:w="6000" w:type="dxa"/>
        <w:jc w:val="center"/>
        <w:tblCellMar>
          <w:left w:w="70" w:type="dxa"/>
          <w:right w:w="70" w:type="dxa"/>
        </w:tblCellMar>
        <w:tblLook w:val="04A0" w:firstRow="1" w:lastRow="0" w:firstColumn="1" w:lastColumn="0" w:noHBand="0" w:noVBand="1"/>
      </w:tblPr>
      <w:tblGrid>
        <w:gridCol w:w="2106"/>
        <w:gridCol w:w="925"/>
        <w:gridCol w:w="1197"/>
        <w:gridCol w:w="1098"/>
        <w:gridCol w:w="674"/>
      </w:tblGrid>
      <w:tr w:rsidR="00285801" w:rsidRPr="000279BC">
        <w:trPr>
          <w:trHeight w:val="20"/>
          <w:jc w:val="center"/>
        </w:trPr>
        <w:tc>
          <w:tcPr>
            <w:tcW w:w="6000" w:type="dxa"/>
            <w:gridSpan w:val="5"/>
            <w:tcBorders>
              <w:top w:val="nil"/>
              <w:left w:val="nil"/>
              <w:bottom w:val="nil"/>
              <w:right w:val="nil"/>
            </w:tcBorders>
            <w:shd w:val="clear" w:color="000000" w:fill="FFFFFF"/>
            <w:vAlign w:val="bottom"/>
          </w:tcPr>
          <w:p w:rsidR="00285801" w:rsidRPr="000A32C6" w:rsidRDefault="00285801" w:rsidP="00285801">
            <w:pPr>
              <w:pStyle w:val="Epgrafe"/>
              <w:rPr>
                <w:rFonts w:cs="Calibri"/>
                <w:color w:val="000000"/>
                <w:lang w:eastAsia="es-CO"/>
              </w:rPr>
            </w:pPr>
            <w:r w:rsidRPr="000A32C6">
              <w:t>Tabla</w:t>
            </w:r>
            <w:r w:rsidR="00E8193D">
              <w:t xml:space="preserve"> 10</w:t>
            </w:r>
            <w:r w:rsidR="0057281C">
              <w:t xml:space="preserve">. </w:t>
            </w:r>
            <w:r w:rsidRPr="000A32C6">
              <w:rPr>
                <w:rFonts w:cs="Calibri"/>
                <w:color w:val="000000"/>
                <w:lang w:eastAsia="es-CO"/>
              </w:rPr>
              <w:t>Matrícula oficial según grupo étnico y tipo de colegio. Bogotá, 2011</w:t>
            </w:r>
          </w:p>
        </w:tc>
      </w:tr>
      <w:tr w:rsidR="00285801" w:rsidRPr="000279BC">
        <w:trPr>
          <w:trHeight w:val="20"/>
          <w:jc w:val="center"/>
        </w:trPr>
        <w:tc>
          <w:tcPr>
            <w:tcW w:w="2106" w:type="dxa"/>
            <w:vMerge w:val="restart"/>
            <w:tcBorders>
              <w:top w:val="single" w:sz="4" w:space="0" w:color="auto"/>
              <w:left w:val="nil"/>
              <w:bottom w:val="single" w:sz="4" w:space="0" w:color="000000"/>
              <w:right w:val="single" w:sz="4" w:space="0" w:color="auto"/>
            </w:tcBorders>
            <w:shd w:val="clear" w:color="000000" w:fill="D8D8D8"/>
            <w:noWrap/>
            <w:vAlign w:val="bottom"/>
          </w:tcPr>
          <w:p w:rsidR="00285801" w:rsidRPr="000279BC" w:rsidRDefault="00285801" w:rsidP="004F01E6">
            <w:pPr>
              <w:jc w:val="center"/>
              <w:rPr>
                <w:rFonts w:eastAsia="Times New Roman" w:cs="Calibri"/>
                <w:color w:val="000000"/>
                <w:sz w:val="18"/>
                <w:szCs w:val="18"/>
                <w:lang w:eastAsia="es-CO"/>
              </w:rPr>
            </w:pPr>
            <w:r w:rsidRPr="000279BC">
              <w:rPr>
                <w:rFonts w:eastAsia="Times New Roman" w:cs="Calibri"/>
                <w:color w:val="000000"/>
                <w:sz w:val="18"/>
                <w:szCs w:val="18"/>
                <w:lang w:eastAsia="es-CO"/>
              </w:rPr>
              <w:t>Grupo poblacional</w:t>
            </w:r>
          </w:p>
        </w:tc>
        <w:tc>
          <w:tcPr>
            <w:tcW w:w="3220" w:type="dxa"/>
            <w:gridSpan w:val="3"/>
            <w:tcBorders>
              <w:top w:val="single" w:sz="4" w:space="0" w:color="auto"/>
              <w:left w:val="nil"/>
              <w:bottom w:val="single" w:sz="4" w:space="0" w:color="auto"/>
              <w:right w:val="single" w:sz="4" w:space="0" w:color="000000"/>
            </w:tcBorders>
            <w:shd w:val="clear" w:color="000000" w:fill="D8D8D8"/>
            <w:noWrap/>
            <w:vAlign w:val="bottom"/>
          </w:tcPr>
          <w:p w:rsidR="00285801" w:rsidRPr="000279BC" w:rsidRDefault="00285801" w:rsidP="004F01E6">
            <w:pPr>
              <w:jc w:val="center"/>
              <w:rPr>
                <w:rFonts w:eastAsia="Times New Roman" w:cs="Calibri"/>
                <w:color w:val="000000"/>
                <w:sz w:val="18"/>
                <w:szCs w:val="18"/>
                <w:lang w:eastAsia="es-CO"/>
              </w:rPr>
            </w:pPr>
            <w:r w:rsidRPr="000279BC">
              <w:rPr>
                <w:rFonts w:eastAsia="Times New Roman" w:cs="Calibri"/>
                <w:color w:val="000000"/>
                <w:sz w:val="18"/>
                <w:szCs w:val="18"/>
                <w:lang w:eastAsia="es-CO"/>
              </w:rPr>
              <w:t>Tipo de colegio</w:t>
            </w:r>
          </w:p>
        </w:tc>
        <w:tc>
          <w:tcPr>
            <w:tcW w:w="674" w:type="dxa"/>
            <w:vMerge w:val="restart"/>
            <w:tcBorders>
              <w:top w:val="single" w:sz="4" w:space="0" w:color="auto"/>
              <w:left w:val="single" w:sz="4" w:space="0" w:color="auto"/>
              <w:bottom w:val="single" w:sz="4" w:space="0" w:color="000000"/>
              <w:right w:val="nil"/>
            </w:tcBorders>
            <w:shd w:val="clear" w:color="000000" w:fill="D8D8D8"/>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Total</w:t>
            </w:r>
          </w:p>
        </w:tc>
      </w:tr>
      <w:tr w:rsidR="00285801" w:rsidRPr="000279BC">
        <w:trPr>
          <w:trHeight w:val="20"/>
          <w:jc w:val="center"/>
        </w:trPr>
        <w:tc>
          <w:tcPr>
            <w:tcW w:w="2106" w:type="dxa"/>
            <w:vMerge/>
            <w:tcBorders>
              <w:top w:val="single" w:sz="4" w:space="0" w:color="auto"/>
              <w:left w:val="nil"/>
              <w:bottom w:val="single" w:sz="4" w:space="0" w:color="000000"/>
              <w:right w:val="single" w:sz="4" w:space="0" w:color="auto"/>
            </w:tcBorders>
            <w:vAlign w:val="center"/>
          </w:tcPr>
          <w:p w:rsidR="00285801" w:rsidRPr="000279BC" w:rsidRDefault="00285801" w:rsidP="004F01E6">
            <w:pPr>
              <w:rPr>
                <w:rFonts w:eastAsia="Times New Roman" w:cs="Calibri"/>
                <w:color w:val="000000"/>
                <w:sz w:val="18"/>
                <w:szCs w:val="18"/>
                <w:lang w:eastAsia="es-CO"/>
              </w:rPr>
            </w:pPr>
          </w:p>
        </w:tc>
        <w:tc>
          <w:tcPr>
            <w:tcW w:w="925" w:type="dxa"/>
            <w:tcBorders>
              <w:top w:val="nil"/>
              <w:left w:val="nil"/>
              <w:bottom w:val="single" w:sz="4" w:space="0" w:color="auto"/>
              <w:right w:val="single" w:sz="4" w:space="0" w:color="auto"/>
            </w:tcBorders>
            <w:shd w:val="clear" w:color="000000" w:fill="D8D8D8"/>
            <w:noWrap/>
            <w:vAlign w:val="bottom"/>
          </w:tcPr>
          <w:p w:rsidR="00285801" w:rsidRPr="000279BC" w:rsidRDefault="00285801" w:rsidP="004F01E6">
            <w:pPr>
              <w:jc w:val="center"/>
              <w:rPr>
                <w:rFonts w:eastAsia="Times New Roman" w:cs="Calibri"/>
                <w:color w:val="000000"/>
                <w:sz w:val="18"/>
                <w:szCs w:val="18"/>
                <w:lang w:eastAsia="es-CO"/>
              </w:rPr>
            </w:pPr>
            <w:r w:rsidRPr="000279BC">
              <w:rPr>
                <w:rFonts w:eastAsia="Times New Roman" w:cs="Calibri"/>
                <w:color w:val="000000"/>
                <w:sz w:val="18"/>
                <w:szCs w:val="18"/>
                <w:lang w:eastAsia="es-CO"/>
              </w:rPr>
              <w:t>Distrital</w:t>
            </w:r>
          </w:p>
        </w:tc>
        <w:tc>
          <w:tcPr>
            <w:tcW w:w="1197" w:type="dxa"/>
            <w:tcBorders>
              <w:top w:val="nil"/>
              <w:left w:val="nil"/>
              <w:bottom w:val="single" w:sz="4" w:space="0" w:color="auto"/>
              <w:right w:val="single" w:sz="4" w:space="0" w:color="auto"/>
            </w:tcBorders>
            <w:shd w:val="clear" w:color="000000" w:fill="D8D8D8"/>
            <w:noWrap/>
            <w:vAlign w:val="bottom"/>
          </w:tcPr>
          <w:p w:rsidR="00285801" w:rsidRPr="000279BC" w:rsidRDefault="00285801" w:rsidP="004F01E6">
            <w:pPr>
              <w:jc w:val="center"/>
              <w:rPr>
                <w:rFonts w:eastAsia="Times New Roman" w:cs="Calibri"/>
                <w:color w:val="000000"/>
                <w:sz w:val="18"/>
                <w:szCs w:val="18"/>
                <w:lang w:eastAsia="es-CO"/>
              </w:rPr>
            </w:pPr>
            <w:r w:rsidRPr="000279BC">
              <w:rPr>
                <w:rFonts w:eastAsia="Times New Roman" w:cs="Calibri"/>
                <w:color w:val="000000"/>
                <w:sz w:val="18"/>
                <w:szCs w:val="18"/>
                <w:lang w:eastAsia="es-CO"/>
              </w:rPr>
              <w:t>Concesión</w:t>
            </w:r>
          </w:p>
        </w:tc>
        <w:tc>
          <w:tcPr>
            <w:tcW w:w="1098" w:type="dxa"/>
            <w:tcBorders>
              <w:top w:val="nil"/>
              <w:left w:val="nil"/>
              <w:bottom w:val="single" w:sz="4" w:space="0" w:color="auto"/>
              <w:right w:val="single" w:sz="4" w:space="0" w:color="auto"/>
            </w:tcBorders>
            <w:shd w:val="clear" w:color="000000" w:fill="D8D8D8"/>
            <w:noWrap/>
            <w:vAlign w:val="bottom"/>
          </w:tcPr>
          <w:p w:rsidR="00285801" w:rsidRPr="000279BC" w:rsidRDefault="00285801" w:rsidP="004F01E6">
            <w:pPr>
              <w:jc w:val="center"/>
              <w:rPr>
                <w:rFonts w:eastAsia="Times New Roman" w:cs="Calibri"/>
                <w:color w:val="000000"/>
                <w:sz w:val="18"/>
                <w:szCs w:val="18"/>
                <w:lang w:eastAsia="es-CO"/>
              </w:rPr>
            </w:pPr>
            <w:r w:rsidRPr="000279BC">
              <w:rPr>
                <w:rFonts w:eastAsia="Times New Roman" w:cs="Calibri"/>
                <w:color w:val="000000"/>
                <w:sz w:val="18"/>
                <w:szCs w:val="18"/>
                <w:lang w:eastAsia="es-CO"/>
              </w:rPr>
              <w:t>Convenio</w:t>
            </w:r>
          </w:p>
        </w:tc>
        <w:tc>
          <w:tcPr>
            <w:tcW w:w="674" w:type="dxa"/>
            <w:vMerge/>
            <w:tcBorders>
              <w:top w:val="single" w:sz="4" w:space="0" w:color="auto"/>
              <w:left w:val="single" w:sz="4" w:space="0" w:color="auto"/>
              <w:bottom w:val="single" w:sz="4" w:space="0" w:color="000000"/>
              <w:right w:val="nil"/>
            </w:tcBorders>
            <w:vAlign w:val="center"/>
          </w:tcPr>
          <w:p w:rsidR="00285801" w:rsidRPr="000279BC" w:rsidRDefault="00285801" w:rsidP="004F01E6">
            <w:pPr>
              <w:rPr>
                <w:rFonts w:eastAsia="Times New Roman" w:cs="Calibri"/>
                <w:color w:val="000000"/>
                <w:sz w:val="18"/>
                <w:szCs w:val="18"/>
                <w:lang w:eastAsia="es-CO"/>
              </w:rPr>
            </w:pPr>
          </w:p>
        </w:tc>
      </w:tr>
      <w:tr w:rsidR="00285801" w:rsidRPr="000279BC">
        <w:trPr>
          <w:trHeight w:val="20"/>
          <w:jc w:val="center"/>
        </w:trPr>
        <w:tc>
          <w:tcPr>
            <w:tcW w:w="2106" w:type="dxa"/>
            <w:tcBorders>
              <w:top w:val="nil"/>
              <w:left w:val="nil"/>
              <w:bottom w:val="nil"/>
              <w:right w:val="single" w:sz="4" w:space="0" w:color="auto"/>
            </w:tcBorders>
            <w:shd w:val="clear" w:color="000000" w:fill="FFFFFF"/>
            <w:noWrap/>
            <w:vAlign w:val="bottom"/>
          </w:tcPr>
          <w:p w:rsidR="00285801" w:rsidRPr="000279BC" w:rsidRDefault="00285801" w:rsidP="004F01E6">
            <w:pPr>
              <w:rPr>
                <w:rFonts w:eastAsia="Times New Roman" w:cs="Calibri"/>
                <w:color w:val="000000"/>
                <w:sz w:val="18"/>
                <w:szCs w:val="18"/>
                <w:lang w:eastAsia="es-CO"/>
              </w:rPr>
            </w:pPr>
            <w:r w:rsidRPr="000279BC">
              <w:rPr>
                <w:rFonts w:eastAsia="Times New Roman" w:cs="Calibri"/>
                <w:color w:val="000000"/>
                <w:sz w:val="18"/>
                <w:szCs w:val="18"/>
                <w:lang w:eastAsia="es-CO"/>
              </w:rPr>
              <w:t>Indígenas</w:t>
            </w:r>
          </w:p>
        </w:tc>
        <w:tc>
          <w:tcPr>
            <w:tcW w:w="925" w:type="dxa"/>
            <w:tcBorders>
              <w:top w:val="nil"/>
              <w:left w:val="nil"/>
              <w:bottom w:val="nil"/>
              <w:right w:val="single" w:sz="4" w:space="0" w:color="auto"/>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1.323</w:t>
            </w:r>
          </w:p>
        </w:tc>
        <w:tc>
          <w:tcPr>
            <w:tcW w:w="1197" w:type="dxa"/>
            <w:tcBorders>
              <w:top w:val="nil"/>
              <w:left w:val="nil"/>
              <w:bottom w:val="nil"/>
              <w:right w:val="single" w:sz="4" w:space="0" w:color="auto"/>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87</w:t>
            </w:r>
          </w:p>
        </w:tc>
        <w:tc>
          <w:tcPr>
            <w:tcW w:w="1098" w:type="dxa"/>
            <w:tcBorders>
              <w:top w:val="nil"/>
              <w:left w:val="nil"/>
              <w:bottom w:val="nil"/>
              <w:right w:val="single" w:sz="4" w:space="0" w:color="auto"/>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298</w:t>
            </w:r>
          </w:p>
        </w:tc>
        <w:tc>
          <w:tcPr>
            <w:tcW w:w="674" w:type="dxa"/>
            <w:tcBorders>
              <w:top w:val="nil"/>
              <w:left w:val="nil"/>
              <w:bottom w:val="nil"/>
              <w:right w:val="nil"/>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1.708</w:t>
            </w:r>
          </w:p>
        </w:tc>
      </w:tr>
      <w:tr w:rsidR="00285801" w:rsidRPr="000279BC">
        <w:trPr>
          <w:trHeight w:val="20"/>
          <w:jc w:val="center"/>
        </w:trPr>
        <w:tc>
          <w:tcPr>
            <w:tcW w:w="2106" w:type="dxa"/>
            <w:tcBorders>
              <w:top w:val="nil"/>
              <w:left w:val="nil"/>
              <w:bottom w:val="nil"/>
              <w:right w:val="single" w:sz="4" w:space="0" w:color="auto"/>
            </w:tcBorders>
            <w:shd w:val="clear" w:color="000000" w:fill="FFFFFF"/>
            <w:noWrap/>
            <w:vAlign w:val="bottom"/>
          </w:tcPr>
          <w:p w:rsidR="00285801" w:rsidRPr="000279BC" w:rsidRDefault="00285801" w:rsidP="004F01E6">
            <w:pPr>
              <w:rPr>
                <w:rFonts w:eastAsia="Times New Roman" w:cs="Calibri"/>
                <w:color w:val="000000"/>
                <w:sz w:val="18"/>
                <w:szCs w:val="18"/>
                <w:lang w:eastAsia="es-CO"/>
              </w:rPr>
            </w:pPr>
            <w:r w:rsidRPr="000279BC">
              <w:rPr>
                <w:rFonts w:eastAsia="Times New Roman" w:cs="Calibri"/>
                <w:color w:val="000000"/>
                <w:sz w:val="18"/>
                <w:szCs w:val="18"/>
                <w:lang w:eastAsia="es-CO"/>
              </w:rPr>
              <w:t>Negritudes</w:t>
            </w:r>
          </w:p>
        </w:tc>
        <w:tc>
          <w:tcPr>
            <w:tcW w:w="925" w:type="dxa"/>
            <w:tcBorders>
              <w:top w:val="nil"/>
              <w:left w:val="nil"/>
              <w:bottom w:val="nil"/>
              <w:right w:val="single" w:sz="4" w:space="0" w:color="auto"/>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1.555</w:t>
            </w:r>
          </w:p>
        </w:tc>
        <w:tc>
          <w:tcPr>
            <w:tcW w:w="1197" w:type="dxa"/>
            <w:tcBorders>
              <w:top w:val="nil"/>
              <w:left w:val="nil"/>
              <w:bottom w:val="nil"/>
              <w:right w:val="single" w:sz="4" w:space="0" w:color="auto"/>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63</w:t>
            </w:r>
          </w:p>
        </w:tc>
        <w:tc>
          <w:tcPr>
            <w:tcW w:w="1098" w:type="dxa"/>
            <w:tcBorders>
              <w:top w:val="nil"/>
              <w:left w:val="nil"/>
              <w:bottom w:val="nil"/>
              <w:right w:val="single" w:sz="4" w:space="0" w:color="auto"/>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195</w:t>
            </w:r>
          </w:p>
        </w:tc>
        <w:tc>
          <w:tcPr>
            <w:tcW w:w="674" w:type="dxa"/>
            <w:tcBorders>
              <w:top w:val="nil"/>
              <w:left w:val="nil"/>
              <w:bottom w:val="nil"/>
              <w:right w:val="nil"/>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1.813</w:t>
            </w:r>
          </w:p>
        </w:tc>
      </w:tr>
      <w:tr w:rsidR="00285801" w:rsidRPr="000279BC">
        <w:trPr>
          <w:trHeight w:val="20"/>
          <w:jc w:val="center"/>
        </w:trPr>
        <w:tc>
          <w:tcPr>
            <w:tcW w:w="2106" w:type="dxa"/>
            <w:tcBorders>
              <w:top w:val="nil"/>
              <w:left w:val="nil"/>
              <w:bottom w:val="nil"/>
              <w:right w:val="single" w:sz="4" w:space="0" w:color="auto"/>
            </w:tcBorders>
            <w:shd w:val="clear" w:color="000000" w:fill="FFFFFF"/>
            <w:noWrap/>
            <w:vAlign w:val="bottom"/>
          </w:tcPr>
          <w:p w:rsidR="00285801" w:rsidRPr="000279BC" w:rsidRDefault="00285801" w:rsidP="004F01E6">
            <w:pPr>
              <w:rPr>
                <w:rFonts w:eastAsia="Times New Roman" w:cs="Calibri"/>
                <w:color w:val="000000"/>
                <w:sz w:val="18"/>
                <w:szCs w:val="18"/>
                <w:lang w:eastAsia="es-CO"/>
              </w:rPr>
            </w:pPr>
            <w:r w:rsidRPr="000279BC">
              <w:rPr>
                <w:rFonts w:eastAsia="Times New Roman" w:cs="Calibri"/>
                <w:color w:val="000000"/>
                <w:sz w:val="18"/>
                <w:szCs w:val="18"/>
                <w:lang w:eastAsia="es-CO"/>
              </w:rPr>
              <w:t>Rom (gitanos)</w:t>
            </w:r>
          </w:p>
        </w:tc>
        <w:tc>
          <w:tcPr>
            <w:tcW w:w="925" w:type="dxa"/>
            <w:tcBorders>
              <w:top w:val="nil"/>
              <w:left w:val="nil"/>
              <w:bottom w:val="nil"/>
              <w:right w:val="single" w:sz="4" w:space="0" w:color="auto"/>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26</w:t>
            </w:r>
          </w:p>
        </w:tc>
        <w:tc>
          <w:tcPr>
            <w:tcW w:w="1197" w:type="dxa"/>
            <w:tcBorders>
              <w:top w:val="nil"/>
              <w:left w:val="nil"/>
              <w:bottom w:val="nil"/>
              <w:right w:val="single" w:sz="4" w:space="0" w:color="auto"/>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1</w:t>
            </w:r>
          </w:p>
        </w:tc>
        <w:tc>
          <w:tcPr>
            <w:tcW w:w="1098" w:type="dxa"/>
            <w:tcBorders>
              <w:top w:val="nil"/>
              <w:left w:val="nil"/>
              <w:bottom w:val="nil"/>
              <w:right w:val="single" w:sz="4" w:space="0" w:color="auto"/>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15</w:t>
            </w:r>
          </w:p>
        </w:tc>
        <w:tc>
          <w:tcPr>
            <w:tcW w:w="674" w:type="dxa"/>
            <w:tcBorders>
              <w:top w:val="nil"/>
              <w:left w:val="nil"/>
              <w:bottom w:val="nil"/>
              <w:right w:val="nil"/>
            </w:tcBorders>
            <w:shd w:val="clear" w:color="000000" w:fill="FFFFFF"/>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42</w:t>
            </w:r>
          </w:p>
        </w:tc>
      </w:tr>
      <w:tr w:rsidR="00285801" w:rsidRPr="000279BC">
        <w:trPr>
          <w:trHeight w:val="20"/>
          <w:jc w:val="center"/>
        </w:trPr>
        <w:tc>
          <w:tcPr>
            <w:tcW w:w="2106" w:type="dxa"/>
            <w:tcBorders>
              <w:top w:val="single" w:sz="4" w:space="0" w:color="auto"/>
              <w:left w:val="nil"/>
              <w:bottom w:val="single" w:sz="4" w:space="0" w:color="auto"/>
              <w:right w:val="single" w:sz="4" w:space="0" w:color="auto"/>
            </w:tcBorders>
            <w:shd w:val="clear" w:color="000000" w:fill="D8D8D8"/>
            <w:noWrap/>
            <w:vAlign w:val="bottom"/>
          </w:tcPr>
          <w:p w:rsidR="00285801" w:rsidRPr="000279BC" w:rsidRDefault="00285801" w:rsidP="004F01E6">
            <w:pPr>
              <w:rPr>
                <w:rFonts w:eastAsia="Times New Roman" w:cs="Calibri"/>
                <w:color w:val="000000"/>
                <w:sz w:val="18"/>
                <w:szCs w:val="18"/>
                <w:lang w:eastAsia="es-CO"/>
              </w:rPr>
            </w:pPr>
            <w:r w:rsidRPr="000279BC">
              <w:rPr>
                <w:rFonts w:eastAsia="Times New Roman" w:cs="Calibri"/>
                <w:color w:val="000000"/>
                <w:sz w:val="18"/>
                <w:szCs w:val="18"/>
                <w:lang w:eastAsia="es-CO"/>
              </w:rPr>
              <w:t>Total</w:t>
            </w:r>
          </w:p>
        </w:tc>
        <w:tc>
          <w:tcPr>
            <w:tcW w:w="925" w:type="dxa"/>
            <w:tcBorders>
              <w:top w:val="single" w:sz="4" w:space="0" w:color="auto"/>
              <w:left w:val="nil"/>
              <w:bottom w:val="single" w:sz="4" w:space="0" w:color="auto"/>
              <w:right w:val="single" w:sz="4" w:space="0" w:color="auto"/>
            </w:tcBorders>
            <w:shd w:val="clear" w:color="000000" w:fill="D8D8D8"/>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2.904</w:t>
            </w:r>
          </w:p>
        </w:tc>
        <w:tc>
          <w:tcPr>
            <w:tcW w:w="1197" w:type="dxa"/>
            <w:tcBorders>
              <w:top w:val="single" w:sz="4" w:space="0" w:color="auto"/>
              <w:left w:val="nil"/>
              <w:bottom w:val="single" w:sz="4" w:space="0" w:color="auto"/>
              <w:right w:val="single" w:sz="4" w:space="0" w:color="auto"/>
            </w:tcBorders>
            <w:shd w:val="clear" w:color="000000" w:fill="D8D8D8"/>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151</w:t>
            </w:r>
          </w:p>
        </w:tc>
        <w:tc>
          <w:tcPr>
            <w:tcW w:w="1098" w:type="dxa"/>
            <w:tcBorders>
              <w:top w:val="single" w:sz="4" w:space="0" w:color="auto"/>
              <w:left w:val="nil"/>
              <w:bottom w:val="single" w:sz="4" w:space="0" w:color="auto"/>
              <w:right w:val="single" w:sz="4" w:space="0" w:color="auto"/>
            </w:tcBorders>
            <w:shd w:val="clear" w:color="000000" w:fill="D8D8D8"/>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508</w:t>
            </w:r>
          </w:p>
        </w:tc>
        <w:tc>
          <w:tcPr>
            <w:tcW w:w="674" w:type="dxa"/>
            <w:tcBorders>
              <w:top w:val="single" w:sz="4" w:space="0" w:color="auto"/>
              <w:left w:val="nil"/>
              <w:bottom w:val="single" w:sz="4" w:space="0" w:color="auto"/>
              <w:right w:val="single" w:sz="4" w:space="0" w:color="auto"/>
            </w:tcBorders>
            <w:shd w:val="clear" w:color="000000" w:fill="D8D8D8"/>
            <w:noWrap/>
            <w:vAlign w:val="bottom"/>
          </w:tcPr>
          <w:p w:rsidR="00285801" w:rsidRPr="000279BC" w:rsidRDefault="00285801" w:rsidP="004F01E6">
            <w:pPr>
              <w:jc w:val="right"/>
              <w:rPr>
                <w:rFonts w:eastAsia="Times New Roman" w:cs="Calibri"/>
                <w:color w:val="000000"/>
                <w:sz w:val="18"/>
                <w:szCs w:val="18"/>
                <w:lang w:eastAsia="es-CO"/>
              </w:rPr>
            </w:pPr>
            <w:r w:rsidRPr="000279BC">
              <w:rPr>
                <w:rFonts w:eastAsia="Times New Roman" w:cs="Calibri"/>
                <w:color w:val="000000"/>
                <w:sz w:val="18"/>
                <w:szCs w:val="18"/>
                <w:lang w:eastAsia="es-CO"/>
              </w:rPr>
              <w:t>3.563</w:t>
            </w:r>
          </w:p>
        </w:tc>
      </w:tr>
      <w:tr w:rsidR="00285801" w:rsidRPr="000279BC">
        <w:trPr>
          <w:trHeight w:val="20"/>
          <w:jc w:val="center"/>
        </w:trPr>
        <w:tc>
          <w:tcPr>
            <w:tcW w:w="6000" w:type="dxa"/>
            <w:gridSpan w:val="5"/>
            <w:tcBorders>
              <w:top w:val="nil"/>
              <w:left w:val="nil"/>
              <w:bottom w:val="nil"/>
              <w:right w:val="nil"/>
            </w:tcBorders>
            <w:shd w:val="clear" w:color="000000" w:fill="FFFFFF"/>
            <w:vAlign w:val="bottom"/>
          </w:tcPr>
          <w:p w:rsidR="00285801" w:rsidRPr="000279BC" w:rsidRDefault="00285801" w:rsidP="004F01E6">
            <w:pPr>
              <w:rPr>
                <w:rFonts w:eastAsia="Times New Roman" w:cs="Calibri"/>
                <w:color w:val="000000"/>
                <w:sz w:val="16"/>
                <w:szCs w:val="16"/>
                <w:lang w:eastAsia="es-CO"/>
              </w:rPr>
            </w:pPr>
            <w:r w:rsidRPr="000279BC">
              <w:rPr>
                <w:rFonts w:eastAsia="Times New Roman" w:cs="Calibri"/>
                <w:color w:val="000000"/>
                <w:sz w:val="16"/>
                <w:szCs w:val="16"/>
                <w:lang w:eastAsia="es-CO"/>
              </w:rPr>
              <w:t>Fuente: SED. Sistema de Matrícula. Fecha de corte, febrero 11 de 2011. Cifras preliminares. En: Caracterización sector educativo. Año 2011</w:t>
            </w:r>
          </w:p>
        </w:tc>
      </w:tr>
    </w:tbl>
    <w:p w:rsidR="005A5B0C" w:rsidRDefault="005A5B0C" w:rsidP="005A5B0C">
      <w:pPr>
        <w:rPr>
          <w:rFonts w:ascii="Times New Roman" w:hAnsi="Times New Roman"/>
        </w:rPr>
      </w:pPr>
    </w:p>
    <w:p w:rsidR="007C7BA4" w:rsidRPr="007C7BA4" w:rsidRDefault="007C7BA4" w:rsidP="007C7BA4">
      <w:pPr>
        <w:jc w:val="both"/>
        <w:rPr>
          <w:rFonts w:ascii="Times New Roman" w:hAnsi="Times New Roman"/>
        </w:rPr>
      </w:pPr>
      <w:r w:rsidRPr="007C7BA4">
        <w:rPr>
          <w:rFonts w:ascii="Times New Roman" w:hAnsi="Times New Roman"/>
        </w:rPr>
        <w:t>Por su parte, como se observa en la</w:t>
      </w:r>
      <w:r w:rsidR="00285801">
        <w:rPr>
          <w:rFonts w:ascii="Times New Roman" w:hAnsi="Times New Roman"/>
        </w:rPr>
        <w:t xml:space="preserve"> tabla</w:t>
      </w:r>
      <w:r w:rsidR="00A505DE">
        <w:rPr>
          <w:rFonts w:ascii="Times New Roman" w:hAnsi="Times New Roman"/>
        </w:rPr>
        <w:t xml:space="preserve"> siguiente</w:t>
      </w:r>
      <w:r w:rsidRPr="007C7BA4">
        <w:rPr>
          <w:rFonts w:ascii="Times New Roman" w:hAnsi="Times New Roman"/>
        </w:rPr>
        <w:t>, en el registro para la localización y caracterización de las personas con discapacidad, a marzo de 2010 están incluidas 189.177 personas en Bogotá, de las cuales 26.370 tienen entre 5 a 19 años (13,9%) con una mayor proporción de hombres (55,6%) respecto a las mujeres (44,4%).</w:t>
      </w:r>
    </w:p>
    <w:p w:rsidR="007C7BA4" w:rsidRPr="007C7BA4" w:rsidRDefault="007C7BA4" w:rsidP="007C7BA4">
      <w:pPr>
        <w:autoSpaceDE w:val="0"/>
        <w:autoSpaceDN w:val="0"/>
        <w:adjustRightInd w:val="0"/>
        <w:jc w:val="both"/>
        <w:outlineLvl w:val="0"/>
        <w:rPr>
          <w:rFonts w:ascii="Times New Roman" w:eastAsia="KozGoPro-Bold" w:hAnsi="Times New Roman" w:cs="KozGoPro-Bold"/>
          <w:b/>
          <w:bCs/>
        </w:rPr>
      </w:pPr>
    </w:p>
    <w:tbl>
      <w:tblPr>
        <w:tblW w:w="6300" w:type="dxa"/>
        <w:jc w:val="center"/>
        <w:tblCellMar>
          <w:left w:w="70" w:type="dxa"/>
          <w:right w:w="70" w:type="dxa"/>
        </w:tblCellMar>
        <w:tblLook w:val="04A0" w:firstRow="1" w:lastRow="0" w:firstColumn="1" w:lastColumn="0" w:noHBand="0" w:noVBand="1"/>
      </w:tblPr>
      <w:tblGrid>
        <w:gridCol w:w="1600"/>
        <w:gridCol w:w="800"/>
        <w:gridCol w:w="760"/>
        <w:gridCol w:w="860"/>
        <w:gridCol w:w="720"/>
        <w:gridCol w:w="880"/>
        <w:gridCol w:w="680"/>
      </w:tblGrid>
      <w:tr w:rsidR="007C7BA4" w:rsidRPr="007C7BA4">
        <w:trPr>
          <w:trHeight w:val="510"/>
          <w:jc w:val="center"/>
        </w:trPr>
        <w:tc>
          <w:tcPr>
            <w:tcW w:w="6300" w:type="dxa"/>
            <w:gridSpan w:val="7"/>
            <w:tcBorders>
              <w:top w:val="nil"/>
              <w:left w:val="nil"/>
              <w:bottom w:val="nil"/>
              <w:right w:val="nil"/>
            </w:tcBorders>
            <w:shd w:val="clear" w:color="000000" w:fill="FFFFFF"/>
          </w:tcPr>
          <w:p w:rsidR="007C7BA4" w:rsidRPr="007C7BA4" w:rsidRDefault="007C7BA4" w:rsidP="00A34211">
            <w:pPr>
              <w:pStyle w:val="Epgrafe"/>
              <w:keepNext/>
              <w:rPr>
                <w:rFonts w:cs="Calibri"/>
                <w:b w:val="0"/>
                <w:bCs w:val="0"/>
                <w:sz w:val="18"/>
                <w:szCs w:val="18"/>
                <w:lang w:eastAsia="es-CO"/>
              </w:rPr>
            </w:pPr>
            <w:bookmarkStart w:id="18" w:name="_Toc337372923"/>
            <w:r w:rsidRPr="007C7BA4">
              <w:t>Tabla</w:t>
            </w:r>
            <w:r w:rsidR="0057281C">
              <w:t xml:space="preserve"> 1</w:t>
            </w:r>
            <w:r w:rsidR="00E8193D">
              <w:t>1</w:t>
            </w:r>
            <w:r w:rsidR="0057281C">
              <w:t xml:space="preserve">. </w:t>
            </w:r>
            <w:r w:rsidRPr="007C7BA4">
              <w:rPr>
                <w:rFonts w:cs="Calibri"/>
                <w:bCs w:val="0"/>
                <w:sz w:val="18"/>
                <w:szCs w:val="18"/>
                <w:lang w:eastAsia="es-CO"/>
              </w:rPr>
              <w:t>Población con registro para la localización y caracterización de las personas con discapacidad. Bogotá, 2010</w:t>
            </w:r>
            <w:bookmarkEnd w:id="18"/>
          </w:p>
        </w:tc>
      </w:tr>
      <w:tr w:rsidR="007C7BA4" w:rsidRPr="007C7BA4">
        <w:trPr>
          <w:trHeight w:val="255"/>
          <w:jc w:val="center"/>
        </w:trPr>
        <w:tc>
          <w:tcPr>
            <w:tcW w:w="1600" w:type="dxa"/>
            <w:vMerge w:val="restart"/>
            <w:tcBorders>
              <w:top w:val="single" w:sz="4" w:space="0" w:color="auto"/>
              <w:left w:val="nil"/>
              <w:bottom w:val="single" w:sz="4" w:space="0" w:color="000000"/>
              <w:right w:val="single" w:sz="4" w:space="0" w:color="auto"/>
            </w:tcBorders>
            <w:shd w:val="clear" w:color="000000" w:fill="F2F2F2"/>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Grupos de edad (años)</w:t>
            </w:r>
          </w:p>
        </w:tc>
        <w:tc>
          <w:tcPr>
            <w:tcW w:w="156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Total</w:t>
            </w:r>
          </w:p>
        </w:tc>
        <w:tc>
          <w:tcPr>
            <w:tcW w:w="158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Hombres</w:t>
            </w:r>
          </w:p>
        </w:tc>
        <w:tc>
          <w:tcPr>
            <w:tcW w:w="1560" w:type="dxa"/>
            <w:gridSpan w:val="2"/>
            <w:vMerge w:val="restart"/>
            <w:tcBorders>
              <w:top w:val="single" w:sz="4" w:space="0" w:color="auto"/>
              <w:left w:val="nil"/>
              <w:bottom w:val="single" w:sz="4" w:space="0" w:color="000000"/>
              <w:right w:val="nil"/>
            </w:tcBorders>
            <w:shd w:val="clear" w:color="000000" w:fill="F2F2F2"/>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Mujeres</w:t>
            </w:r>
          </w:p>
        </w:tc>
      </w:tr>
      <w:tr w:rsidR="007C7BA4" w:rsidRPr="007C7BA4">
        <w:trPr>
          <w:trHeight w:val="240"/>
          <w:jc w:val="center"/>
        </w:trPr>
        <w:tc>
          <w:tcPr>
            <w:tcW w:w="1600" w:type="dxa"/>
            <w:vMerge/>
            <w:tcBorders>
              <w:top w:val="single" w:sz="4" w:space="0" w:color="auto"/>
              <w:left w:val="nil"/>
              <w:bottom w:val="single" w:sz="4" w:space="0" w:color="000000"/>
              <w:right w:val="single" w:sz="4" w:space="0" w:color="auto"/>
            </w:tcBorders>
            <w:vAlign w:val="center"/>
          </w:tcPr>
          <w:p w:rsidR="007C7BA4" w:rsidRPr="007C7BA4" w:rsidRDefault="007C7BA4" w:rsidP="007C7BA4">
            <w:pPr>
              <w:jc w:val="both"/>
              <w:rPr>
                <w:rFonts w:ascii="Times New Roman" w:eastAsia="Times New Roman" w:hAnsi="Times New Roman" w:cs="Calibri"/>
                <w:sz w:val="18"/>
                <w:szCs w:val="18"/>
                <w:lang w:eastAsia="es-CO"/>
              </w:rPr>
            </w:pPr>
          </w:p>
        </w:tc>
        <w:tc>
          <w:tcPr>
            <w:tcW w:w="1560" w:type="dxa"/>
            <w:gridSpan w:val="2"/>
            <w:vMerge/>
            <w:tcBorders>
              <w:top w:val="single" w:sz="4" w:space="0" w:color="auto"/>
              <w:left w:val="single" w:sz="4" w:space="0" w:color="auto"/>
              <w:bottom w:val="single" w:sz="4" w:space="0" w:color="000000"/>
              <w:right w:val="single" w:sz="4" w:space="0" w:color="000000"/>
            </w:tcBorders>
            <w:vAlign w:val="center"/>
          </w:tcPr>
          <w:p w:rsidR="007C7BA4" w:rsidRPr="007C7BA4" w:rsidRDefault="007C7BA4" w:rsidP="007C7BA4">
            <w:pPr>
              <w:jc w:val="both"/>
              <w:rPr>
                <w:rFonts w:ascii="Times New Roman" w:eastAsia="Times New Roman" w:hAnsi="Times New Roman" w:cs="Calibri"/>
                <w:sz w:val="18"/>
                <w:szCs w:val="18"/>
                <w:lang w:eastAsia="es-CO"/>
              </w:rPr>
            </w:pPr>
          </w:p>
        </w:tc>
        <w:tc>
          <w:tcPr>
            <w:tcW w:w="1580" w:type="dxa"/>
            <w:gridSpan w:val="2"/>
            <w:vMerge/>
            <w:tcBorders>
              <w:top w:val="single" w:sz="4" w:space="0" w:color="auto"/>
              <w:left w:val="single" w:sz="4" w:space="0" w:color="auto"/>
              <w:bottom w:val="single" w:sz="4" w:space="0" w:color="000000"/>
              <w:right w:val="single" w:sz="4" w:space="0" w:color="000000"/>
            </w:tcBorders>
            <w:vAlign w:val="center"/>
          </w:tcPr>
          <w:p w:rsidR="007C7BA4" w:rsidRPr="007C7BA4" w:rsidRDefault="007C7BA4" w:rsidP="007C7BA4">
            <w:pPr>
              <w:jc w:val="both"/>
              <w:rPr>
                <w:rFonts w:ascii="Times New Roman" w:eastAsia="Times New Roman" w:hAnsi="Times New Roman" w:cs="Calibri"/>
                <w:sz w:val="18"/>
                <w:szCs w:val="18"/>
                <w:lang w:eastAsia="es-CO"/>
              </w:rPr>
            </w:pPr>
          </w:p>
        </w:tc>
        <w:tc>
          <w:tcPr>
            <w:tcW w:w="1560" w:type="dxa"/>
            <w:gridSpan w:val="2"/>
            <w:vMerge/>
            <w:tcBorders>
              <w:top w:val="single" w:sz="4" w:space="0" w:color="auto"/>
              <w:left w:val="nil"/>
              <w:bottom w:val="single" w:sz="4" w:space="0" w:color="000000"/>
              <w:right w:val="nil"/>
            </w:tcBorders>
            <w:vAlign w:val="center"/>
          </w:tcPr>
          <w:p w:rsidR="007C7BA4" w:rsidRPr="007C7BA4" w:rsidRDefault="007C7BA4" w:rsidP="007C7BA4">
            <w:pPr>
              <w:jc w:val="both"/>
              <w:rPr>
                <w:rFonts w:ascii="Times New Roman" w:eastAsia="Times New Roman" w:hAnsi="Times New Roman" w:cs="Calibri"/>
                <w:sz w:val="18"/>
                <w:szCs w:val="18"/>
                <w:lang w:eastAsia="es-CO"/>
              </w:rPr>
            </w:pPr>
          </w:p>
        </w:tc>
      </w:tr>
      <w:tr w:rsidR="007C7BA4" w:rsidRPr="007C7BA4">
        <w:trPr>
          <w:trHeight w:val="240"/>
          <w:jc w:val="center"/>
        </w:trPr>
        <w:tc>
          <w:tcPr>
            <w:tcW w:w="1600" w:type="dxa"/>
            <w:tcBorders>
              <w:top w:val="nil"/>
              <w:left w:val="nil"/>
              <w:bottom w:val="nil"/>
              <w:right w:val="single" w:sz="4" w:space="0" w:color="auto"/>
            </w:tcBorders>
            <w:shd w:val="clear" w:color="000000" w:fill="FFFFFF"/>
            <w:vAlign w:val="bottom"/>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De 5 a 9</w:t>
            </w:r>
          </w:p>
        </w:tc>
        <w:tc>
          <w:tcPr>
            <w:tcW w:w="800" w:type="dxa"/>
            <w:tcBorders>
              <w:top w:val="nil"/>
              <w:left w:val="nil"/>
              <w:bottom w:val="nil"/>
              <w:right w:val="nil"/>
            </w:tcBorders>
            <w:shd w:val="clear" w:color="000000" w:fill="FFFFFF"/>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8.286</w:t>
            </w:r>
          </w:p>
        </w:tc>
        <w:tc>
          <w:tcPr>
            <w:tcW w:w="760" w:type="dxa"/>
            <w:tcBorders>
              <w:top w:val="nil"/>
              <w:left w:val="nil"/>
              <w:bottom w:val="nil"/>
              <w:right w:val="single" w:sz="4" w:space="0" w:color="auto"/>
            </w:tcBorders>
            <w:shd w:val="clear" w:color="000000" w:fill="FFFFFF"/>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4,4</w:t>
            </w:r>
          </w:p>
        </w:tc>
        <w:tc>
          <w:tcPr>
            <w:tcW w:w="860" w:type="dxa"/>
            <w:tcBorders>
              <w:top w:val="nil"/>
              <w:left w:val="nil"/>
              <w:bottom w:val="nil"/>
              <w:right w:val="nil"/>
            </w:tcBorders>
            <w:shd w:val="clear" w:color="000000" w:fill="FFFFFF"/>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4.719</w:t>
            </w:r>
          </w:p>
        </w:tc>
        <w:tc>
          <w:tcPr>
            <w:tcW w:w="720" w:type="dxa"/>
            <w:tcBorders>
              <w:top w:val="nil"/>
              <w:left w:val="nil"/>
              <w:bottom w:val="nil"/>
              <w:right w:val="single" w:sz="4" w:space="0" w:color="auto"/>
            </w:tcBorders>
            <w:shd w:val="clear" w:color="000000" w:fill="FFFFFF"/>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57,0</w:t>
            </w:r>
          </w:p>
        </w:tc>
        <w:tc>
          <w:tcPr>
            <w:tcW w:w="880" w:type="dxa"/>
            <w:tcBorders>
              <w:top w:val="nil"/>
              <w:left w:val="nil"/>
              <w:bottom w:val="nil"/>
              <w:right w:val="nil"/>
            </w:tcBorders>
            <w:shd w:val="clear" w:color="000000" w:fill="FFFFFF"/>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3.567</w:t>
            </w:r>
          </w:p>
        </w:tc>
        <w:tc>
          <w:tcPr>
            <w:tcW w:w="680" w:type="dxa"/>
            <w:tcBorders>
              <w:top w:val="nil"/>
              <w:left w:val="nil"/>
              <w:bottom w:val="nil"/>
              <w:right w:val="nil"/>
            </w:tcBorders>
            <w:shd w:val="clear" w:color="000000" w:fill="FFFFFF"/>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43,0</w:t>
            </w:r>
          </w:p>
        </w:tc>
      </w:tr>
      <w:tr w:rsidR="007C7BA4" w:rsidRPr="007C7BA4">
        <w:trPr>
          <w:trHeight w:val="240"/>
          <w:jc w:val="center"/>
        </w:trPr>
        <w:tc>
          <w:tcPr>
            <w:tcW w:w="1600" w:type="dxa"/>
            <w:tcBorders>
              <w:top w:val="nil"/>
              <w:left w:val="nil"/>
              <w:bottom w:val="nil"/>
              <w:right w:val="single" w:sz="4" w:space="0" w:color="auto"/>
            </w:tcBorders>
            <w:shd w:val="clear" w:color="000000" w:fill="F2F2F2"/>
            <w:vAlign w:val="bottom"/>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De 10 a 14</w:t>
            </w:r>
          </w:p>
        </w:tc>
        <w:tc>
          <w:tcPr>
            <w:tcW w:w="800" w:type="dxa"/>
            <w:tcBorders>
              <w:top w:val="nil"/>
              <w:left w:val="nil"/>
              <w:bottom w:val="nil"/>
              <w:right w:val="nil"/>
            </w:tcBorders>
            <w:shd w:val="clear" w:color="000000" w:fill="F2F2F2"/>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9.955</w:t>
            </w:r>
          </w:p>
        </w:tc>
        <w:tc>
          <w:tcPr>
            <w:tcW w:w="760" w:type="dxa"/>
            <w:tcBorders>
              <w:top w:val="nil"/>
              <w:left w:val="nil"/>
              <w:bottom w:val="nil"/>
              <w:right w:val="single" w:sz="4" w:space="0" w:color="auto"/>
            </w:tcBorders>
            <w:shd w:val="clear" w:color="000000" w:fill="F2F2F2"/>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5,3</w:t>
            </w:r>
          </w:p>
        </w:tc>
        <w:tc>
          <w:tcPr>
            <w:tcW w:w="860" w:type="dxa"/>
            <w:tcBorders>
              <w:top w:val="nil"/>
              <w:left w:val="nil"/>
              <w:bottom w:val="nil"/>
              <w:right w:val="nil"/>
            </w:tcBorders>
            <w:shd w:val="clear" w:color="000000" w:fill="F2F2F2"/>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5.561</w:t>
            </w:r>
          </w:p>
        </w:tc>
        <w:tc>
          <w:tcPr>
            <w:tcW w:w="720" w:type="dxa"/>
            <w:tcBorders>
              <w:top w:val="nil"/>
              <w:left w:val="nil"/>
              <w:bottom w:val="nil"/>
              <w:right w:val="single" w:sz="4" w:space="0" w:color="auto"/>
            </w:tcBorders>
            <w:shd w:val="clear" w:color="000000" w:fill="F2F2F2"/>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55,9</w:t>
            </w:r>
          </w:p>
        </w:tc>
        <w:tc>
          <w:tcPr>
            <w:tcW w:w="880" w:type="dxa"/>
            <w:tcBorders>
              <w:top w:val="nil"/>
              <w:left w:val="nil"/>
              <w:bottom w:val="nil"/>
              <w:right w:val="nil"/>
            </w:tcBorders>
            <w:shd w:val="clear" w:color="000000" w:fill="F2F2F2"/>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4.394</w:t>
            </w:r>
          </w:p>
        </w:tc>
        <w:tc>
          <w:tcPr>
            <w:tcW w:w="680" w:type="dxa"/>
            <w:tcBorders>
              <w:top w:val="nil"/>
              <w:left w:val="nil"/>
              <w:bottom w:val="nil"/>
              <w:right w:val="nil"/>
            </w:tcBorders>
            <w:shd w:val="clear" w:color="000000" w:fill="F2F2F2"/>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44,1</w:t>
            </w:r>
          </w:p>
        </w:tc>
      </w:tr>
      <w:tr w:rsidR="007C7BA4" w:rsidRPr="007C7BA4">
        <w:trPr>
          <w:trHeight w:val="240"/>
          <w:jc w:val="center"/>
        </w:trPr>
        <w:tc>
          <w:tcPr>
            <w:tcW w:w="1600" w:type="dxa"/>
            <w:tcBorders>
              <w:top w:val="nil"/>
              <w:left w:val="nil"/>
              <w:bottom w:val="nil"/>
              <w:right w:val="single" w:sz="4" w:space="0" w:color="auto"/>
            </w:tcBorders>
            <w:shd w:val="clear" w:color="000000" w:fill="FFFFFF"/>
            <w:vAlign w:val="bottom"/>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De 15 a 19</w:t>
            </w:r>
          </w:p>
        </w:tc>
        <w:tc>
          <w:tcPr>
            <w:tcW w:w="800" w:type="dxa"/>
            <w:tcBorders>
              <w:top w:val="nil"/>
              <w:left w:val="nil"/>
              <w:bottom w:val="nil"/>
              <w:right w:val="nil"/>
            </w:tcBorders>
            <w:shd w:val="clear" w:color="000000" w:fill="FFFFFF"/>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8.129</w:t>
            </w:r>
          </w:p>
        </w:tc>
        <w:tc>
          <w:tcPr>
            <w:tcW w:w="760" w:type="dxa"/>
            <w:tcBorders>
              <w:top w:val="nil"/>
              <w:left w:val="nil"/>
              <w:bottom w:val="nil"/>
              <w:right w:val="single" w:sz="4" w:space="0" w:color="auto"/>
            </w:tcBorders>
            <w:shd w:val="clear" w:color="000000" w:fill="FFFFFF"/>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4,3</w:t>
            </w:r>
          </w:p>
        </w:tc>
        <w:tc>
          <w:tcPr>
            <w:tcW w:w="860" w:type="dxa"/>
            <w:tcBorders>
              <w:top w:val="nil"/>
              <w:left w:val="nil"/>
              <w:bottom w:val="nil"/>
              <w:right w:val="nil"/>
            </w:tcBorders>
            <w:shd w:val="clear" w:color="000000" w:fill="FFFFFF"/>
            <w:vAlign w:val="bottom"/>
          </w:tcPr>
          <w:p w:rsidR="00C058ED" w:rsidRDefault="007C7BA4">
            <w:pPr>
              <w:jc w:val="right"/>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4.388</w:t>
            </w:r>
          </w:p>
        </w:tc>
        <w:tc>
          <w:tcPr>
            <w:tcW w:w="720" w:type="dxa"/>
            <w:tcBorders>
              <w:top w:val="nil"/>
              <w:left w:val="nil"/>
              <w:bottom w:val="nil"/>
              <w:right w:val="single" w:sz="4" w:space="0" w:color="auto"/>
            </w:tcBorders>
            <w:shd w:val="clear" w:color="000000" w:fill="FFFFFF"/>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54,0</w:t>
            </w:r>
          </w:p>
        </w:tc>
        <w:tc>
          <w:tcPr>
            <w:tcW w:w="880" w:type="dxa"/>
            <w:tcBorders>
              <w:top w:val="nil"/>
              <w:left w:val="nil"/>
              <w:bottom w:val="nil"/>
              <w:right w:val="nil"/>
            </w:tcBorders>
            <w:shd w:val="clear" w:color="000000" w:fill="FFFFFF"/>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3.741</w:t>
            </w:r>
          </w:p>
        </w:tc>
        <w:tc>
          <w:tcPr>
            <w:tcW w:w="680" w:type="dxa"/>
            <w:tcBorders>
              <w:top w:val="nil"/>
              <w:left w:val="nil"/>
              <w:bottom w:val="nil"/>
              <w:right w:val="nil"/>
            </w:tcBorders>
            <w:shd w:val="clear" w:color="000000" w:fill="FFFFFF"/>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46,0</w:t>
            </w:r>
          </w:p>
        </w:tc>
      </w:tr>
      <w:tr w:rsidR="007C7BA4" w:rsidRPr="007C7BA4">
        <w:trPr>
          <w:trHeight w:val="240"/>
          <w:jc w:val="center"/>
        </w:trPr>
        <w:tc>
          <w:tcPr>
            <w:tcW w:w="1600" w:type="dxa"/>
            <w:tcBorders>
              <w:top w:val="nil"/>
              <w:left w:val="nil"/>
              <w:bottom w:val="nil"/>
              <w:right w:val="single" w:sz="4" w:space="0" w:color="auto"/>
            </w:tcBorders>
            <w:shd w:val="clear" w:color="000000" w:fill="FFFFFF"/>
            <w:vAlign w:val="bottom"/>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Total 5 a 19 años</w:t>
            </w:r>
          </w:p>
        </w:tc>
        <w:tc>
          <w:tcPr>
            <w:tcW w:w="800" w:type="dxa"/>
            <w:tcBorders>
              <w:top w:val="nil"/>
              <w:left w:val="nil"/>
              <w:bottom w:val="nil"/>
              <w:right w:val="nil"/>
            </w:tcBorders>
            <w:shd w:val="clear" w:color="000000" w:fill="FFFFFF"/>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26.370</w:t>
            </w:r>
          </w:p>
        </w:tc>
        <w:tc>
          <w:tcPr>
            <w:tcW w:w="760" w:type="dxa"/>
            <w:tcBorders>
              <w:top w:val="nil"/>
              <w:left w:val="nil"/>
              <w:bottom w:val="nil"/>
              <w:right w:val="single" w:sz="4" w:space="0" w:color="auto"/>
            </w:tcBorders>
            <w:shd w:val="clear" w:color="000000" w:fill="FFFFFF"/>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13,9</w:t>
            </w:r>
          </w:p>
        </w:tc>
        <w:tc>
          <w:tcPr>
            <w:tcW w:w="860" w:type="dxa"/>
            <w:tcBorders>
              <w:top w:val="nil"/>
              <w:left w:val="nil"/>
              <w:bottom w:val="nil"/>
              <w:right w:val="nil"/>
            </w:tcBorders>
            <w:shd w:val="clear" w:color="000000" w:fill="FFFFFF"/>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14.668</w:t>
            </w:r>
          </w:p>
        </w:tc>
        <w:tc>
          <w:tcPr>
            <w:tcW w:w="720" w:type="dxa"/>
            <w:tcBorders>
              <w:top w:val="nil"/>
              <w:left w:val="nil"/>
              <w:bottom w:val="nil"/>
              <w:right w:val="single" w:sz="4" w:space="0" w:color="auto"/>
            </w:tcBorders>
            <w:shd w:val="clear" w:color="000000" w:fill="FFFFFF"/>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55,6</w:t>
            </w:r>
          </w:p>
        </w:tc>
        <w:tc>
          <w:tcPr>
            <w:tcW w:w="880" w:type="dxa"/>
            <w:tcBorders>
              <w:top w:val="nil"/>
              <w:left w:val="nil"/>
              <w:bottom w:val="nil"/>
              <w:right w:val="nil"/>
            </w:tcBorders>
            <w:shd w:val="clear" w:color="000000" w:fill="FFFFFF"/>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11.702</w:t>
            </w:r>
          </w:p>
        </w:tc>
        <w:tc>
          <w:tcPr>
            <w:tcW w:w="680" w:type="dxa"/>
            <w:tcBorders>
              <w:top w:val="nil"/>
              <w:left w:val="nil"/>
              <w:bottom w:val="nil"/>
              <w:right w:val="nil"/>
            </w:tcBorders>
            <w:shd w:val="clear" w:color="000000" w:fill="FFFFFF"/>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44,4</w:t>
            </w:r>
          </w:p>
        </w:tc>
      </w:tr>
      <w:tr w:rsidR="007C7BA4" w:rsidRPr="007C7BA4">
        <w:trPr>
          <w:trHeight w:val="240"/>
          <w:jc w:val="center"/>
        </w:trPr>
        <w:tc>
          <w:tcPr>
            <w:tcW w:w="1600" w:type="dxa"/>
            <w:tcBorders>
              <w:top w:val="single" w:sz="4" w:space="0" w:color="auto"/>
              <w:left w:val="nil"/>
              <w:bottom w:val="single" w:sz="4" w:space="0" w:color="auto"/>
              <w:right w:val="single" w:sz="4" w:space="0" w:color="auto"/>
            </w:tcBorders>
            <w:shd w:val="clear" w:color="000000" w:fill="F2F2F2"/>
            <w:vAlign w:val="bottom"/>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8"/>
                <w:szCs w:val="18"/>
                <w:lang w:eastAsia="es-CO"/>
              </w:rPr>
              <w:t>Total Bogotá</w:t>
            </w:r>
          </w:p>
        </w:tc>
        <w:tc>
          <w:tcPr>
            <w:tcW w:w="800" w:type="dxa"/>
            <w:tcBorders>
              <w:top w:val="single" w:sz="4" w:space="0" w:color="auto"/>
              <w:left w:val="nil"/>
              <w:bottom w:val="single" w:sz="4" w:space="0" w:color="auto"/>
              <w:right w:val="nil"/>
            </w:tcBorders>
            <w:shd w:val="clear" w:color="000000" w:fill="F2F2F2"/>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189.177</w:t>
            </w:r>
          </w:p>
        </w:tc>
        <w:tc>
          <w:tcPr>
            <w:tcW w:w="760" w:type="dxa"/>
            <w:tcBorders>
              <w:top w:val="single" w:sz="4" w:space="0" w:color="auto"/>
              <w:left w:val="nil"/>
              <w:bottom w:val="single" w:sz="4" w:space="0" w:color="auto"/>
              <w:right w:val="single" w:sz="4" w:space="0" w:color="auto"/>
            </w:tcBorders>
            <w:shd w:val="clear" w:color="000000" w:fill="F2F2F2"/>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100,0</w:t>
            </w:r>
          </w:p>
        </w:tc>
        <w:tc>
          <w:tcPr>
            <w:tcW w:w="860" w:type="dxa"/>
            <w:tcBorders>
              <w:top w:val="single" w:sz="4" w:space="0" w:color="auto"/>
              <w:left w:val="nil"/>
              <w:bottom w:val="single" w:sz="4" w:space="0" w:color="auto"/>
              <w:right w:val="nil"/>
            </w:tcBorders>
            <w:shd w:val="clear" w:color="000000" w:fill="F2F2F2"/>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77.005</w:t>
            </w:r>
          </w:p>
        </w:tc>
        <w:tc>
          <w:tcPr>
            <w:tcW w:w="720" w:type="dxa"/>
            <w:tcBorders>
              <w:top w:val="single" w:sz="4" w:space="0" w:color="auto"/>
              <w:left w:val="nil"/>
              <w:bottom w:val="single" w:sz="4" w:space="0" w:color="auto"/>
              <w:right w:val="single" w:sz="4" w:space="0" w:color="auto"/>
            </w:tcBorders>
            <w:shd w:val="clear" w:color="000000" w:fill="F2F2F2"/>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40,7</w:t>
            </w:r>
          </w:p>
        </w:tc>
        <w:tc>
          <w:tcPr>
            <w:tcW w:w="880" w:type="dxa"/>
            <w:tcBorders>
              <w:top w:val="single" w:sz="4" w:space="0" w:color="auto"/>
              <w:left w:val="nil"/>
              <w:bottom w:val="single" w:sz="4" w:space="0" w:color="auto"/>
              <w:right w:val="nil"/>
            </w:tcBorders>
            <w:shd w:val="clear" w:color="000000" w:fill="F2F2F2"/>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112.172</w:t>
            </w:r>
          </w:p>
        </w:tc>
        <w:tc>
          <w:tcPr>
            <w:tcW w:w="680" w:type="dxa"/>
            <w:tcBorders>
              <w:top w:val="single" w:sz="4" w:space="0" w:color="auto"/>
              <w:left w:val="nil"/>
              <w:bottom w:val="single" w:sz="4" w:space="0" w:color="auto"/>
              <w:right w:val="nil"/>
            </w:tcBorders>
            <w:shd w:val="clear" w:color="000000" w:fill="F2F2F2"/>
            <w:noWrap/>
            <w:vAlign w:val="bottom"/>
          </w:tcPr>
          <w:p w:rsidR="00C058ED" w:rsidRDefault="007C7BA4" w:rsidP="00B74AEC">
            <w:pPr>
              <w:spacing w:before="2" w:after="2"/>
              <w:jc w:val="right"/>
              <w:rPr>
                <w:rFonts w:ascii="Times New Roman" w:eastAsia="Times New Roman" w:hAnsi="Times New Roman" w:cs="Calibri"/>
                <w:color w:val="000000"/>
                <w:sz w:val="18"/>
                <w:szCs w:val="18"/>
                <w:lang w:eastAsia="es-CO"/>
              </w:rPr>
            </w:pPr>
            <w:r w:rsidRPr="007C7BA4">
              <w:rPr>
                <w:rFonts w:ascii="Times New Roman" w:eastAsia="Times New Roman" w:hAnsi="Times New Roman" w:cs="Calibri"/>
                <w:sz w:val="18"/>
                <w:szCs w:val="18"/>
                <w:lang w:eastAsia="es-CO"/>
              </w:rPr>
              <w:t>59,3</w:t>
            </w:r>
          </w:p>
        </w:tc>
      </w:tr>
      <w:tr w:rsidR="007C7BA4" w:rsidRPr="007C7BA4">
        <w:trPr>
          <w:trHeight w:val="285"/>
          <w:jc w:val="center"/>
        </w:trPr>
        <w:tc>
          <w:tcPr>
            <w:tcW w:w="6300" w:type="dxa"/>
            <w:gridSpan w:val="7"/>
            <w:tcBorders>
              <w:top w:val="nil"/>
              <w:left w:val="nil"/>
              <w:bottom w:val="nil"/>
              <w:right w:val="nil"/>
            </w:tcBorders>
            <w:shd w:val="clear" w:color="000000" w:fill="FFFFFF"/>
          </w:tcPr>
          <w:p w:rsidR="007C7BA4" w:rsidRPr="007C7BA4" w:rsidRDefault="007C7BA4" w:rsidP="007C7BA4">
            <w:pPr>
              <w:jc w:val="both"/>
              <w:rPr>
                <w:rFonts w:ascii="Times New Roman" w:eastAsia="Times New Roman" w:hAnsi="Times New Roman" w:cs="Calibri"/>
                <w:sz w:val="18"/>
                <w:szCs w:val="18"/>
                <w:lang w:eastAsia="es-CO"/>
              </w:rPr>
            </w:pPr>
            <w:r w:rsidRPr="007C7BA4">
              <w:rPr>
                <w:rFonts w:ascii="Times New Roman" w:eastAsia="Times New Roman" w:hAnsi="Times New Roman" w:cs="Calibri"/>
                <w:sz w:val="16"/>
                <w:szCs w:val="16"/>
                <w:lang w:eastAsia="es-CO"/>
              </w:rPr>
              <w:t>Fuente: DANE Marzo 2010 - Dirección de Censos y Demografía</w:t>
            </w:r>
            <w:r w:rsidRPr="007C7BA4">
              <w:rPr>
                <w:rFonts w:ascii="Times New Roman" w:eastAsia="Times New Roman" w:hAnsi="Times New Roman" w:cs="Calibri"/>
                <w:sz w:val="18"/>
                <w:szCs w:val="18"/>
                <w:lang w:eastAsia="es-CO"/>
              </w:rPr>
              <w:t> </w:t>
            </w:r>
          </w:p>
        </w:tc>
      </w:tr>
    </w:tbl>
    <w:p w:rsidR="007C7BA4" w:rsidRPr="007C7BA4" w:rsidRDefault="007C7BA4" w:rsidP="007C7BA4">
      <w:pPr>
        <w:autoSpaceDE w:val="0"/>
        <w:autoSpaceDN w:val="0"/>
        <w:adjustRightInd w:val="0"/>
        <w:jc w:val="both"/>
        <w:outlineLvl w:val="0"/>
        <w:rPr>
          <w:rFonts w:ascii="Times New Roman" w:eastAsia="KozGoPro-Bold" w:hAnsi="Times New Roman" w:cs="KozGoPro-Bold"/>
          <w:b/>
          <w:bCs/>
        </w:rPr>
      </w:pPr>
    </w:p>
    <w:p w:rsidR="00DE38C1" w:rsidRDefault="007C7BA4">
      <w:pPr>
        <w:jc w:val="both"/>
        <w:rPr>
          <w:rFonts w:ascii="Times New Roman" w:hAnsi="Times New Roman"/>
        </w:rPr>
      </w:pPr>
      <w:r w:rsidRPr="007C7BA4">
        <w:rPr>
          <w:rFonts w:ascii="Times New Roman" w:hAnsi="Times New Roman"/>
        </w:rPr>
        <w:t>Del total de la población de 5 a 19 años en condición de discapacidad, el 67% asiste a una institución educativa frente al 32,7% que no reporta asistencia.</w:t>
      </w:r>
    </w:p>
    <w:bookmarkEnd w:id="16"/>
    <w:p w:rsidR="00086B54" w:rsidRDefault="00086B54" w:rsidP="005A5B0C">
      <w:pPr>
        <w:jc w:val="both"/>
        <w:rPr>
          <w:rFonts w:ascii="Times New Roman" w:hAnsi="Times New Roman"/>
        </w:rPr>
      </w:pPr>
    </w:p>
    <w:p w:rsidR="00450425" w:rsidRPr="00113D25" w:rsidRDefault="00113D25" w:rsidP="00113D25">
      <w:pPr>
        <w:pStyle w:val="Ttulo2"/>
        <w:spacing w:before="0" w:after="0"/>
        <w:rPr>
          <w:i w:val="0"/>
        </w:rPr>
      </w:pPr>
      <w:bookmarkStart w:id="19" w:name="_Toc362358040"/>
      <w:r w:rsidRPr="00113D25">
        <w:rPr>
          <w:i w:val="0"/>
        </w:rPr>
        <w:t>2</w:t>
      </w:r>
      <w:r w:rsidR="00450425" w:rsidRPr="00113D25">
        <w:rPr>
          <w:i w:val="0"/>
        </w:rPr>
        <w:t>.3.  Desigualdades y exclusión</w:t>
      </w:r>
      <w:bookmarkEnd w:id="19"/>
    </w:p>
    <w:p w:rsidR="00450425" w:rsidRPr="00BA20B4" w:rsidRDefault="00450425" w:rsidP="00450425">
      <w:pPr>
        <w:jc w:val="both"/>
        <w:rPr>
          <w:rFonts w:ascii="Times New Roman" w:hAnsi="Times New Roman"/>
          <w:bCs/>
        </w:rPr>
      </w:pPr>
    </w:p>
    <w:p w:rsidR="00450425" w:rsidRPr="00BA20B4" w:rsidRDefault="00450425" w:rsidP="00450425">
      <w:pPr>
        <w:jc w:val="both"/>
        <w:rPr>
          <w:rFonts w:ascii="Times New Roman" w:hAnsi="Times New Roman"/>
          <w:bCs/>
        </w:rPr>
      </w:pPr>
      <w:r w:rsidRPr="00BA20B4">
        <w:rPr>
          <w:rFonts w:ascii="Times New Roman" w:hAnsi="Times New Roman"/>
          <w:bCs/>
        </w:rPr>
        <w:t xml:space="preserve">Los problemas centrales que enfrenta la educación del Distrito son mucho más graves y acentuados en la población </w:t>
      </w:r>
      <w:r w:rsidR="002B5001">
        <w:rPr>
          <w:rFonts w:ascii="Times New Roman" w:hAnsi="Times New Roman"/>
          <w:bCs/>
        </w:rPr>
        <w:t>con menores ingresos</w:t>
      </w:r>
      <w:r w:rsidRPr="00BA20B4">
        <w:rPr>
          <w:rFonts w:ascii="Times New Roman" w:hAnsi="Times New Roman"/>
          <w:bCs/>
        </w:rPr>
        <w:t xml:space="preserve"> y por tanto también en las localidades con mayores niveles de pobreza, e igualmente se reflejan</w:t>
      </w:r>
      <w:r w:rsidR="006F349A">
        <w:rPr>
          <w:rFonts w:ascii="Times New Roman" w:hAnsi="Times New Roman"/>
          <w:bCs/>
        </w:rPr>
        <w:t xml:space="preserve"> en las diferencias</w:t>
      </w:r>
      <w:r w:rsidRPr="00BA20B4">
        <w:rPr>
          <w:rFonts w:ascii="Times New Roman" w:hAnsi="Times New Roman"/>
          <w:bCs/>
        </w:rPr>
        <w:t xml:space="preserve"> entre </w:t>
      </w:r>
      <w:r w:rsidR="00640E85">
        <w:rPr>
          <w:rFonts w:ascii="Times New Roman" w:hAnsi="Times New Roman"/>
          <w:bCs/>
        </w:rPr>
        <w:t>algunos</w:t>
      </w:r>
      <w:r w:rsidRPr="00BA20B4">
        <w:rPr>
          <w:rFonts w:ascii="Times New Roman" w:hAnsi="Times New Roman"/>
          <w:bCs/>
        </w:rPr>
        <w:t xml:space="preserve"> colegios privados y públicos, que constituye también una distinción aproximada a diferencias en los ingresos. Es por tanto evidente que la población más pobre tiene</w:t>
      </w:r>
      <w:r w:rsidR="00A34211">
        <w:rPr>
          <w:rFonts w:ascii="Times New Roman" w:hAnsi="Times New Roman"/>
          <w:bCs/>
        </w:rPr>
        <w:t xml:space="preserve"> con sus propios recursos</w:t>
      </w:r>
      <w:r w:rsidRPr="00BA20B4">
        <w:rPr>
          <w:rFonts w:ascii="Times New Roman" w:hAnsi="Times New Roman"/>
          <w:bCs/>
        </w:rPr>
        <w:t xml:space="preserve"> menos</w:t>
      </w:r>
      <w:r w:rsidR="00A34211">
        <w:rPr>
          <w:rFonts w:ascii="Times New Roman" w:hAnsi="Times New Roman"/>
          <w:bCs/>
        </w:rPr>
        <w:t xml:space="preserve"> posibilidades acceso a una educación de</w:t>
      </w:r>
      <w:r w:rsidRPr="00BA20B4">
        <w:rPr>
          <w:rFonts w:ascii="Times New Roman" w:hAnsi="Times New Roman"/>
          <w:bCs/>
        </w:rPr>
        <w:t xml:space="preserve"> calidad lo cual refuerza la exclusión en la ciudad. Adicionalmente, al interior de los propios colegios públicos</w:t>
      </w:r>
      <w:r w:rsidR="00640E85">
        <w:rPr>
          <w:rFonts w:ascii="Times New Roman" w:hAnsi="Times New Roman"/>
          <w:bCs/>
        </w:rPr>
        <w:t xml:space="preserve"> y privados</w:t>
      </w:r>
      <w:r w:rsidRPr="00BA20B4">
        <w:rPr>
          <w:rFonts w:ascii="Times New Roman" w:hAnsi="Times New Roman"/>
          <w:bCs/>
        </w:rPr>
        <w:t xml:space="preserve"> se presentan diferencias importantes en la calidad del servicio educativo. A continuación presentamos una síntesis de evidencias de las desigualdades.</w:t>
      </w:r>
    </w:p>
    <w:p w:rsidR="00226DB7" w:rsidRDefault="00226DB7" w:rsidP="00226DB7"/>
    <w:p w:rsidR="00450425" w:rsidRPr="00226DB7" w:rsidRDefault="00450425" w:rsidP="00226DB7">
      <w:pPr>
        <w:rPr>
          <w:rFonts w:ascii="Times New Roman" w:hAnsi="Times New Roman"/>
        </w:rPr>
      </w:pPr>
      <w:r w:rsidRPr="00226DB7">
        <w:rPr>
          <w:rFonts w:ascii="Times New Roman" w:hAnsi="Times New Roman"/>
        </w:rPr>
        <w:t>Las desigualdades sociales</w:t>
      </w:r>
    </w:p>
    <w:p w:rsidR="00450425" w:rsidRPr="00BA20B4" w:rsidRDefault="00450425" w:rsidP="00450425">
      <w:pPr>
        <w:jc w:val="both"/>
        <w:rPr>
          <w:rFonts w:ascii="Times New Roman" w:hAnsi="Times New Roman"/>
          <w:bCs/>
        </w:rPr>
      </w:pPr>
    </w:p>
    <w:p w:rsidR="006907D9" w:rsidRPr="002805B8" w:rsidRDefault="00450425" w:rsidP="002805B8">
      <w:pPr>
        <w:pStyle w:val="Prrafodelista"/>
        <w:numPr>
          <w:ilvl w:val="0"/>
          <w:numId w:val="7"/>
        </w:numPr>
        <w:jc w:val="both"/>
        <w:rPr>
          <w:bCs/>
        </w:rPr>
      </w:pPr>
      <w:r w:rsidRPr="002805B8">
        <w:rPr>
          <w:bCs/>
        </w:rPr>
        <w:t xml:space="preserve">Promedio de años de educación: </w:t>
      </w:r>
      <w:r w:rsidR="006907D9" w:rsidRPr="002805B8">
        <w:rPr>
          <w:rFonts w:cs="Arial"/>
        </w:rPr>
        <w:t>Por estratos socioeconómicos, se observa una relación entre estrato y años promedio de educación que muestra que a mayor estrato socioeconómico mayor es el promedio de años de educación. “Para el total de población de 5 años y más, en el estrato 6 el promedio de años de educación es de 14,3 años; en el estrato 5 es</w:t>
      </w:r>
      <w:r w:rsidR="00B70BD5">
        <w:rPr>
          <w:rFonts w:cs="Arial"/>
        </w:rPr>
        <w:t xml:space="preserve"> </w:t>
      </w:r>
      <w:r w:rsidR="006907D9" w:rsidRPr="002805B8">
        <w:rPr>
          <w:rFonts w:cs="Arial"/>
        </w:rPr>
        <w:t>de 13,9 años; en el estrato 4 es de 12,7; en el estrato 3 es de 10,1 años; en el estrato 2 es de 8 años y en el estrato 1 es de 6,7 años promedio”</w:t>
      </w:r>
      <w:r w:rsidR="006907D9" w:rsidRPr="00BA20B4">
        <w:rPr>
          <w:rStyle w:val="Refdenotaalpie"/>
          <w:rFonts w:cs="Arial"/>
        </w:rPr>
        <w:footnoteReference w:id="75"/>
      </w:r>
      <w:r w:rsidR="006907D9" w:rsidRPr="002805B8">
        <w:rPr>
          <w:rFonts w:cs="Arial"/>
        </w:rPr>
        <w:t>.</w:t>
      </w:r>
    </w:p>
    <w:p w:rsidR="008E59EC" w:rsidRPr="000B5783" w:rsidRDefault="00E21A4B" w:rsidP="000B5783">
      <w:pPr>
        <w:pStyle w:val="Prrafodelista"/>
        <w:numPr>
          <w:ilvl w:val="0"/>
          <w:numId w:val="7"/>
        </w:numPr>
        <w:jc w:val="both"/>
        <w:rPr>
          <w:bCs/>
        </w:rPr>
      </w:pPr>
      <w:r w:rsidRPr="00E21A4B">
        <w:t>La tasa de analfabetismo es de 1,7 en 2011; en los estratos 5 y 6 es solamente de 0,2, y en la de estratos 1 y 2 corresponde a 3,4 y 2,3 respectivamente</w:t>
      </w:r>
      <w:r w:rsidR="000B5783">
        <w:t>.</w:t>
      </w:r>
    </w:p>
    <w:p w:rsidR="008E59EC" w:rsidRDefault="00450425" w:rsidP="000B5783">
      <w:pPr>
        <w:pStyle w:val="Prrafodelista"/>
        <w:numPr>
          <w:ilvl w:val="0"/>
          <w:numId w:val="7"/>
        </w:numPr>
        <w:jc w:val="both"/>
      </w:pPr>
      <w:r w:rsidRPr="00BA20B4">
        <w:t>Tasa de asistencia de los jóvenes de 16 y 17 años: En el estrato 6 asisten al colegio el 98,6% de los jóvenes, el 90% de los estratos 4 y 5, el 84% del estrato 3 y apenas el 74% en el estrato 1 y el 78% en el estrato 2.</w:t>
      </w:r>
    </w:p>
    <w:p w:rsidR="008E59EC" w:rsidRDefault="00450425" w:rsidP="000B5783">
      <w:pPr>
        <w:pStyle w:val="Prrafodelista"/>
        <w:numPr>
          <w:ilvl w:val="0"/>
          <w:numId w:val="7"/>
        </w:numPr>
        <w:jc w:val="both"/>
      </w:pPr>
      <w:r w:rsidRPr="00BA20B4">
        <w:t>Tasa de asistencia de los jóvenes de 18 a 25 años: mientras que en el estrato 6 se encuentra en la universidad el 78% de las personas</w:t>
      </w:r>
      <w:r w:rsidR="005C2DCC">
        <w:t>,</w:t>
      </w:r>
      <w:r w:rsidRPr="00BA20B4">
        <w:t xml:space="preserve"> en el estrato 1 apenas el 20% y en el estrato 2 el 30%</w:t>
      </w:r>
    </w:p>
    <w:p w:rsidR="00450425" w:rsidRPr="00BA20B4" w:rsidRDefault="00450425" w:rsidP="00450425">
      <w:pPr>
        <w:jc w:val="both"/>
        <w:rPr>
          <w:rFonts w:ascii="Times New Roman" w:hAnsi="Times New Roman"/>
        </w:rPr>
      </w:pPr>
      <w:r w:rsidRPr="00BA20B4">
        <w:rPr>
          <w:rFonts w:ascii="Times New Roman" w:hAnsi="Times New Roman"/>
          <w:bCs/>
        </w:rPr>
        <w:tab/>
      </w:r>
      <w:r w:rsidRPr="00BA20B4">
        <w:rPr>
          <w:rFonts w:ascii="Times New Roman" w:hAnsi="Times New Roman"/>
          <w:bCs/>
        </w:rPr>
        <w:tab/>
      </w:r>
      <w:r w:rsidRPr="00BA20B4">
        <w:rPr>
          <w:rFonts w:ascii="Times New Roman" w:hAnsi="Times New Roman"/>
          <w:bCs/>
        </w:rPr>
        <w:tab/>
      </w:r>
    </w:p>
    <w:p w:rsidR="000B5783" w:rsidRPr="00226DB7" w:rsidDel="001F0344" w:rsidRDefault="00450425" w:rsidP="00226DB7">
      <w:pPr>
        <w:rPr>
          <w:rFonts w:ascii="Times New Roman" w:hAnsi="Times New Roman"/>
        </w:rPr>
      </w:pPr>
      <w:r w:rsidRPr="00226DB7">
        <w:rPr>
          <w:rFonts w:ascii="Times New Roman" w:hAnsi="Times New Roman"/>
        </w:rPr>
        <w:t>Las desigualdades territoriales</w:t>
      </w:r>
      <w:r w:rsidR="00CC4B04" w:rsidRPr="00CC4B04">
        <w:rPr>
          <w:rFonts w:ascii="Times New Roman" w:hAnsi="Times New Roman"/>
          <w:sz w:val="20"/>
          <w:vertAlign w:val="superscript"/>
        </w:rPr>
        <w:footnoteReference w:id="76"/>
      </w:r>
    </w:p>
    <w:p w:rsidR="00D37D0A" w:rsidRPr="00BA20B4" w:rsidDel="000B5783" w:rsidRDefault="00D37D0A" w:rsidP="003E7765">
      <w:pPr>
        <w:jc w:val="both"/>
        <w:rPr>
          <w:rFonts w:ascii="Times New Roman" w:hAnsi="Times New Roman" w:cs="Arial"/>
          <w:sz w:val="18"/>
          <w:lang w:val="es-ES"/>
        </w:rPr>
      </w:pPr>
    </w:p>
    <w:p w:rsidR="0092370F" w:rsidRPr="006907D9" w:rsidRDefault="0092370F" w:rsidP="006907D9">
      <w:pPr>
        <w:pStyle w:val="Prrafodelista"/>
        <w:numPr>
          <w:ilvl w:val="0"/>
          <w:numId w:val="7"/>
        </w:numPr>
        <w:autoSpaceDE w:val="0"/>
        <w:autoSpaceDN w:val="0"/>
        <w:adjustRightInd w:val="0"/>
        <w:jc w:val="both"/>
        <w:rPr>
          <w:rFonts w:cs="Arial"/>
          <w:lang w:val="es-ES"/>
        </w:rPr>
      </w:pPr>
      <w:r w:rsidRPr="0092370F">
        <w:rPr>
          <w:rFonts w:cs="Arial"/>
        </w:rPr>
        <w:t>Las localidades con menores años promedio de educación</w:t>
      </w:r>
      <w:r w:rsidR="00A34211">
        <w:rPr>
          <w:rFonts w:cs="Arial"/>
        </w:rPr>
        <w:t xml:space="preserve"> en 2011</w:t>
      </w:r>
      <w:r w:rsidRPr="0092370F">
        <w:rPr>
          <w:rFonts w:cs="Arial"/>
        </w:rPr>
        <w:t xml:space="preserve"> son algunas de las que tienen mayores niveles de pobreza como Usme con 7,3 años, Ciudad Bolívar con 7,3 y Bosa con 7,8 años</w:t>
      </w:r>
      <w:r w:rsidR="006907D9">
        <w:rPr>
          <w:rFonts w:cs="Arial"/>
        </w:rPr>
        <w:t>, frente a un promedio de 9,4 años.</w:t>
      </w:r>
    </w:p>
    <w:p w:rsidR="008E59EC" w:rsidRDefault="00450425" w:rsidP="00D37D0A">
      <w:pPr>
        <w:pStyle w:val="Prrafodelista"/>
        <w:numPr>
          <w:ilvl w:val="0"/>
          <w:numId w:val="7"/>
        </w:numPr>
        <w:jc w:val="both"/>
        <w:rPr>
          <w:rFonts w:cstheme="minorHAnsi"/>
        </w:rPr>
      </w:pPr>
      <w:r w:rsidRPr="00BA20B4">
        <w:rPr>
          <w:lang w:val="es-ES"/>
        </w:rPr>
        <w:t xml:space="preserve">Tasa de asistencia de jóvenes de 18 a 25 años: </w:t>
      </w:r>
      <w:r w:rsidRPr="00BA20B4">
        <w:rPr>
          <w:rFonts w:cstheme="minorHAnsi"/>
        </w:rPr>
        <w:t xml:space="preserve">en localidades como Teusaquillo (73.6%), Chapinero (66.0 %) y Usaquén (58.9 %) el porcentaje de jóvenes que estudia en estas edades es alto. En contraste, localidades como Usme (23.4 %), </w:t>
      </w:r>
      <w:r w:rsidRPr="00BA20B4">
        <w:rPr>
          <w:rFonts w:cstheme="minorHAnsi"/>
        </w:rPr>
        <w:lastRenderedPageBreak/>
        <w:t>Ciudad Bolívar (24.3 %) y Bosa (26.2 %) presentan  cifras de estudio bajas en este grupo de edades.</w:t>
      </w:r>
    </w:p>
    <w:p w:rsidR="00E119D2" w:rsidRDefault="00E119D2" w:rsidP="00450425">
      <w:pPr>
        <w:jc w:val="both"/>
        <w:rPr>
          <w:rFonts w:ascii="Times New Roman" w:hAnsi="Times New Roman" w:cs="Arial"/>
          <w:sz w:val="18"/>
          <w:lang w:val="es-ES"/>
        </w:rPr>
      </w:pPr>
    </w:p>
    <w:p w:rsidR="00450425" w:rsidRPr="00226DB7" w:rsidRDefault="00450425" w:rsidP="00226DB7">
      <w:pPr>
        <w:rPr>
          <w:rFonts w:ascii="Times New Roman" w:hAnsi="Times New Roman"/>
        </w:rPr>
      </w:pPr>
      <w:r w:rsidRPr="00226DB7">
        <w:rPr>
          <w:rFonts w:ascii="Times New Roman" w:hAnsi="Times New Roman"/>
        </w:rPr>
        <w:t>Las desigualdades entre colegios públicos y privados</w:t>
      </w:r>
    </w:p>
    <w:p w:rsidR="00450425" w:rsidRPr="00BA20B4" w:rsidRDefault="00450425" w:rsidP="00450425">
      <w:pPr>
        <w:jc w:val="both"/>
        <w:rPr>
          <w:rFonts w:ascii="Times New Roman" w:hAnsi="Times New Roman" w:cs="Arial"/>
          <w:lang w:val="es-ES"/>
        </w:rPr>
      </w:pPr>
    </w:p>
    <w:p w:rsidR="008E59EC" w:rsidRPr="00B74AEC" w:rsidRDefault="00450425" w:rsidP="00B74AEC">
      <w:pPr>
        <w:pStyle w:val="Prrafodelista"/>
        <w:numPr>
          <w:ilvl w:val="0"/>
          <w:numId w:val="7"/>
        </w:numPr>
        <w:jc w:val="both"/>
        <w:rPr>
          <w:rFonts w:cs="Arial"/>
          <w:lang w:val="es-ES"/>
        </w:rPr>
      </w:pPr>
      <w:r w:rsidRPr="00B74AEC">
        <w:rPr>
          <w:rFonts w:cs="Arial"/>
          <w:lang w:val="es-ES"/>
        </w:rPr>
        <w:t>Proporción de col</w:t>
      </w:r>
      <w:r w:rsidR="002F0BEB">
        <w:rPr>
          <w:rFonts w:cs="Arial"/>
          <w:lang w:val="es-ES"/>
        </w:rPr>
        <w:t>egios clasificados en superior,</w:t>
      </w:r>
      <w:r w:rsidRPr="00B74AEC">
        <w:rPr>
          <w:rFonts w:cs="Arial"/>
          <w:lang w:val="es-ES"/>
        </w:rPr>
        <w:t xml:space="preserve"> muy superior</w:t>
      </w:r>
      <w:r w:rsidR="002F0BEB">
        <w:rPr>
          <w:rFonts w:cs="Arial"/>
          <w:lang w:val="es-ES"/>
        </w:rPr>
        <w:t xml:space="preserve"> y alto: en los colegios privados es 79</w:t>
      </w:r>
      <w:r w:rsidRPr="00B74AEC">
        <w:rPr>
          <w:rFonts w:cs="Arial"/>
          <w:lang w:val="es-ES"/>
        </w:rPr>
        <w:t>% mientras que en los co</w:t>
      </w:r>
      <w:r w:rsidR="002F0BEB">
        <w:rPr>
          <w:rFonts w:cs="Arial"/>
          <w:lang w:val="es-ES"/>
        </w:rPr>
        <w:t>legios oficiales es 57</w:t>
      </w:r>
      <w:r w:rsidRPr="00B74AEC">
        <w:rPr>
          <w:rFonts w:cs="Arial"/>
          <w:lang w:val="es-ES"/>
        </w:rPr>
        <w:t>%.</w:t>
      </w:r>
    </w:p>
    <w:p w:rsidR="008E59EC" w:rsidRPr="00B74AEC" w:rsidRDefault="00450425" w:rsidP="00B74AEC">
      <w:pPr>
        <w:pStyle w:val="Prrafodelista"/>
        <w:numPr>
          <w:ilvl w:val="0"/>
          <w:numId w:val="7"/>
        </w:numPr>
        <w:jc w:val="both"/>
        <w:rPr>
          <w:lang w:val="es-ES"/>
        </w:rPr>
      </w:pPr>
      <w:r w:rsidRPr="00BA20B4">
        <w:rPr>
          <w:lang w:val="es-ES"/>
        </w:rPr>
        <w:t xml:space="preserve">Tasa de reprobación: </w:t>
      </w:r>
      <w:r w:rsidRPr="00BA20B4">
        <w:t>En el año 2011, el 10% de los estudiantes en colegios oficiales reprueba el año en comparación con un 3,2% en los colegios privados</w:t>
      </w:r>
      <w:r w:rsidR="00B74AEC">
        <w:t>.</w:t>
      </w:r>
    </w:p>
    <w:p w:rsidR="008E59EC" w:rsidRDefault="00450425" w:rsidP="00B74AEC">
      <w:pPr>
        <w:pStyle w:val="Prrafodelista"/>
        <w:numPr>
          <w:ilvl w:val="0"/>
          <w:numId w:val="7"/>
        </w:numPr>
        <w:jc w:val="both"/>
        <w:rPr>
          <w:lang w:val="es-ES"/>
        </w:rPr>
      </w:pPr>
      <w:r w:rsidRPr="00BA20B4">
        <w:rPr>
          <w:lang w:val="es-ES"/>
        </w:rPr>
        <w:t xml:space="preserve">Tasa de deserción: </w:t>
      </w:r>
      <w:r w:rsidR="00497353">
        <w:rPr>
          <w:lang w:eastAsia="es-ES"/>
        </w:rPr>
        <w:t>Para 2011</w:t>
      </w:r>
      <w:r w:rsidRPr="00BA20B4">
        <w:rPr>
          <w:lang w:eastAsia="es-ES"/>
        </w:rPr>
        <w:t xml:space="preserve"> las cifras fueron 3,9 en el sector oficial y 1,2 en el sector privado.</w:t>
      </w:r>
    </w:p>
    <w:p w:rsidR="002374A9" w:rsidRPr="00D839CB" w:rsidRDefault="002374A9" w:rsidP="00DA18D9">
      <w:pPr>
        <w:jc w:val="both"/>
      </w:pPr>
    </w:p>
    <w:p w:rsidR="00232CBE" w:rsidRPr="00BA20B4" w:rsidRDefault="00232CBE" w:rsidP="00450425">
      <w:pPr>
        <w:jc w:val="both"/>
        <w:rPr>
          <w:rFonts w:ascii="Times New Roman" w:hAnsi="Times New Roman"/>
        </w:rPr>
      </w:pPr>
    </w:p>
    <w:p w:rsidR="00450425" w:rsidRPr="00325CEE" w:rsidRDefault="00325CEE" w:rsidP="00325CEE">
      <w:pPr>
        <w:pStyle w:val="Ttulo2"/>
        <w:spacing w:before="0" w:after="0"/>
        <w:rPr>
          <w:i w:val="0"/>
        </w:rPr>
      </w:pPr>
      <w:bookmarkStart w:id="20" w:name="_Toc362358041"/>
      <w:r w:rsidRPr="00325CEE">
        <w:rPr>
          <w:i w:val="0"/>
        </w:rPr>
        <w:t>2.4</w:t>
      </w:r>
      <w:r w:rsidR="00450425" w:rsidRPr="00325CEE">
        <w:rPr>
          <w:i w:val="0"/>
        </w:rPr>
        <w:t>. C</w:t>
      </w:r>
      <w:r w:rsidR="002112D8" w:rsidRPr="00325CEE">
        <w:rPr>
          <w:i w:val="0"/>
        </w:rPr>
        <w:t>a</w:t>
      </w:r>
      <w:r w:rsidR="00450425" w:rsidRPr="00325CEE">
        <w:rPr>
          <w:i w:val="0"/>
        </w:rPr>
        <w:t>usas o factores incidentes en los problemas</w:t>
      </w:r>
      <w:bookmarkEnd w:id="20"/>
    </w:p>
    <w:p w:rsidR="00450425" w:rsidRDefault="00450425" w:rsidP="00450425">
      <w:pPr>
        <w:jc w:val="both"/>
        <w:rPr>
          <w:rFonts w:ascii="Times New Roman" w:hAnsi="Times New Roman"/>
          <w:sz w:val="22"/>
          <w:szCs w:val="20"/>
        </w:rPr>
      </w:pPr>
    </w:p>
    <w:p w:rsidR="00CF1D21" w:rsidRPr="00C5645A" w:rsidRDefault="00CF1D21" w:rsidP="00CF1D21">
      <w:pPr>
        <w:jc w:val="both"/>
        <w:rPr>
          <w:rFonts w:ascii="Times New Roman" w:hAnsi="Times New Roman"/>
        </w:rPr>
      </w:pPr>
      <w:r>
        <w:rPr>
          <w:rFonts w:ascii="Times New Roman" w:hAnsi="Times New Roman"/>
        </w:rPr>
        <w:t>L</w:t>
      </w:r>
      <w:r w:rsidRPr="00BA20B4">
        <w:rPr>
          <w:rFonts w:ascii="Times New Roman" w:hAnsi="Times New Roman"/>
        </w:rPr>
        <w:t>a principal razón por la cual la mayoría de la población no accede a servicios</w:t>
      </w:r>
      <w:r>
        <w:rPr>
          <w:rFonts w:ascii="Times New Roman" w:hAnsi="Times New Roman"/>
        </w:rPr>
        <w:t xml:space="preserve"> y procesos </w:t>
      </w:r>
      <w:r w:rsidRPr="00BA20B4">
        <w:rPr>
          <w:rFonts w:ascii="Times New Roman" w:hAnsi="Times New Roman"/>
        </w:rPr>
        <w:t xml:space="preserve"> educativos</w:t>
      </w:r>
      <w:r w:rsidR="00E544B2">
        <w:rPr>
          <w:rFonts w:ascii="Times New Roman" w:hAnsi="Times New Roman"/>
        </w:rPr>
        <w:t xml:space="preserve"> formales </w:t>
      </w:r>
      <w:r w:rsidRPr="00BA20B4">
        <w:rPr>
          <w:rFonts w:ascii="Times New Roman" w:hAnsi="Times New Roman"/>
        </w:rPr>
        <w:t>en los diferentes niveles, es la carencia de ingresos suficientes, asociada a los niveles de pobreza existentes en la ciudad</w:t>
      </w:r>
      <w:r w:rsidRPr="00BA20B4">
        <w:rPr>
          <w:rStyle w:val="Refdenotaalpie"/>
          <w:rFonts w:ascii="Times New Roman" w:hAnsi="Times New Roman"/>
        </w:rPr>
        <w:footnoteReference w:id="77"/>
      </w:r>
      <w:r w:rsidRPr="00BA20B4">
        <w:rPr>
          <w:rFonts w:ascii="Times New Roman" w:hAnsi="Times New Roman"/>
        </w:rPr>
        <w:t xml:space="preserve">. Con sus ingresos propios la mayoría de personas de Bogotá no puede pagar la educación </w:t>
      </w:r>
      <w:r>
        <w:rPr>
          <w:rFonts w:ascii="Times New Roman" w:hAnsi="Times New Roman"/>
        </w:rPr>
        <w:t>y además no cuenta con ciertas condiciones familiares y de entorno propicias al desarrollo educativo.</w:t>
      </w:r>
      <w:r w:rsidRPr="00BA20B4">
        <w:rPr>
          <w:rFonts w:ascii="Times New Roman" w:hAnsi="Times New Roman"/>
        </w:rPr>
        <w:t xml:space="preserve"> Adicionalmente, aunque pueda</w:t>
      </w:r>
      <w:r w:rsidR="002A0C98">
        <w:rPr>
          <w:rFonts w:ascii="Times New Roman" w:hAnsi="Times New Roman"/>
        </w:rPr>
        <w:t>n</w:t>
      </w:r>
      <w:r w:rsidRPr="00BA20B4">
        <w:rPr>
          <w:rFonts w:ascii="Times New Roman" w:hAnsi="Times New Roman"/>
        </w:rPr>
        <w:t xml:space="preserve"> acceder a la educación, existen condiciones que estimulan la deserción de los estudiantes como la necesidad de complementar ingresos</w:t>
      </w:r>
      <w:r>
        <w:rPr>
          <w:rFonts w:ascii="Times New Roman" w:hAnsi="Times New Roman"/>
        </w:rPr>
        <w:t xml:space="preserve"> trabajando</w:t>
      </w:r>
      <w:r>
        <w:rPr>
          <w:rStyle w:val="Refdenotaalpie"/>
          <w:rFonts w:ascii="Times New Roman" w:hAnsi="Times New Roman"/>
        </w:rPr>
        <w:footnoteReference w:id="78"/>
      </w:r>
      <w:r w:rsidRPr="00BA20B4">
        <w:rPr>
          <w:rFonts w:ascii="Times New Roman" w:hAnsi="Times New Roman"/>
        </w:rPr>
        <w:t xml:space="preserve">, </w:t>
      </w:r>
      <w:r>
        <w:rPr>
          <w:rFonts w:ascii="Times New Roman" w:hAnsi="Times New Roman"/>
        </w:rPr>
        <w:t>ofrecer</w:t>
      </w:r>
      <w:r w:rsidRPr="00BA20B4">
        <w:rPr>
          <w:rFonts w:ascii="Times New Roman" w:hAnsi="Times New Roman"/>
        </w:rPr>
        <w:t xml:space="preserve"> apoyo </w:t>
      </w:r>
      <w:r>
        <w:rPr>
          <w:rFonts w:ascii="Times New Roman" w:hAnsi="Times New Roman"/>
        </w:rPr>
        <w:t>en las</w:t>
      </w:r>
      <w:r w:rsidRPr="00BA20B4">
        <w:rPr>
          <w:rFonts w:ascii="Times New Roman" w:hAnsi="Times New Roman"/>
        </w:rPr>
        <w:t xml:space="preserve"> labores domésticas</w:t>
      </w:r>
      <w:r>
        <w:rPr>
          <w:rFonts w:ascii="Times New Roman" w:hAnsi="Times New Roman"/>
        </w:rPr>
        <w:t xml:space="preserve"> del hogar,</w:t>
      </w:r>
      <w:r w:rsidR="00B70BD5">
        <w:rPr>
          <w:rFonts w:ascii="Times New Roman" w:hAnsi="Times New Roman"/>
        </w:rPr>
        <w:t xml:space="preserve"> </w:t>
      </w:r>
      <w:r>
        <w:rPr>
          <w:rFonts w:ascii="Times New Roman" w:hAnsi="Times New Roman"/>
        </w:rPr>
        <w:t xml:space="preserve">no contar con el dinero requerido para cubrir </w:t>
      </w:r>
      <w:r w:rsidRPr="00BA20B4">
        <w:rPr>
          <w:rFonts w:ascii="Times New Roman" w:hAnsi="Times New Roman"/>
        </w:rPr>
        <w:t xml:space="preserve">los costos adicionales de la educación como el transporte o la compra de útiles escolares, </w:t>
      </w:r>
      <w:r>
        <w:rPr>
          <w:rFonts w:ascii="Times New Roman" w:hAnsi="Times New Roman"/>
        </w:rPr>
        <w:t>una opinión que percibe</w:t>
      </w:r>
      <w:r w:rsidR="00B70BD5">
        <w:rPr>
          <w:rFonts w:ascii="Times New Roman" w:hAnsi="Times New Roman"/>
        </w:rPr>
        <w:t xml:space="preserve"> </w:t>
      </w:r>
      <w:r>
        <w:rPr>
          <w:rFonts w:ascii="Times New Roman" w:hAnsi="Times New Roman"/>
        </w:rPr>
        <w:t>poco útil el</w:t>
      </w:r>
      <w:r w:rsidRPr="00BA20B4">
        <w:rPr>
          <w:rFonts w:ascii="Times New Roman" w:hAnsi="Times New Roman"/>
        </w:rPr>
        <w:t xml:space="preserve"> estudio para </w:t>
      </w:r>
      <w:r w:rsidRPr="00C5645A">
        <w:rPr>
          <w:rFonts w:ascii="Times New Roman" w:hAnsi="Times New Roman"/>
        </w:rPr>
        <w:t xml:space="preserve">el mejoramiento de las condiciones socioeconómicas, la influencia de la abolición de la </w:t>
      </w:r>
      <w:r w:rsidR="009866F0">
        <w:rPr>
          <w:rFonts w:ascii="Times New Roman" w:hAnsi="Times New Roman"/>
        </w:rPr>
        <w:t>norma sobre</w:t>
      </w:r>
      <w:r w:rsidRPr="00C5645A">
        <w:rPr>
          <w:rFonts w:ascii="Times New Roman" w:hAnsi="Times New Roman"/>
        </w:rPr>
        <w:t xml:space="preserve"> “</w:t>
      </w:r>
      <w:r w:rsidR="009866F0">
        <w:rPr>
          <w:rFonts w:ascii="Times New Roman" w:hAnsi="Times New Roman"/>
        </w:rPr>
        <w:t>p</w:t>
      </w:r>
      <w:r w:rsidRPr="00C5645A">
        <w:rPr>
          <w:rFonts w:ascii="Times New Roman" w:hAnsi="Times New Roman"/>
        </w:rPr>
        <w:t xml:space="preserve">romoción automática”, y problemas de inseguridad y </w:t>
      </w:r>
      <w:r w:rsidR="004B2830">
        <w:rPr>
          <w:rFonts w:ascii="Times New Roman" w:hAnsi="Times New Roman"/>
        </w:rPr>
        <w:t>acoso</w:t>
      </w:r>
      <w:r w:rsidR="00B70BD5">
        <w:rPr>
          <w:rFonts w:ascii="Times New Roman" w:hAnsi="Times New Roman"/>
        </w:rPr>
        <w:t xml:space="preserve"> </w:t>
      </w:r>
      <w:r w:rsidRPr="00C5645A">
        <w:rPr>
          <w:rFonts w:ascii="Times New Roman" w:hAnsi="Times New Roman"/>
        </w:rPr>
        <w:t>en las instituciones educativas y sus alrededores, entre otros factores</w:t>
      </w:r>
      <w:r w:rsidRPr="00C5645A">
        <w:rPr>
          <w:rStyle w:val="Refdenotaalpie"/>
          <w:rFonts w:ascii="Times New Roman" w:hAnsi="Times New Roman"/>
        </w:rPr>
        <w:footnoteReference w:id="79"/>
      </w:r>
      <w:r w:rsidRPr="00C5645A">
        <w:rPr>
          <w:rFonts w:ascii="Times New Roman" w:hAnsi="Times New Roman"/>
        </w:rPr>
        <w:t>.</w:t>
      </w:r>
    </w:p>
    <w:p w:rsidR="00450425" w:rsidRPr="00BA20B4" w:rsidRDefault="00450425" w:rsidP="00450425">
      <w:pPr>
        <w:jc w:val="both"/>
        <w:rPr>
          <w:rFonts w:ascii="Times New Roman" w:hAnsi="Times New Roman"/>
        </w:rPr>
      </w:pPr>
    </w:p>
    <w:p w:rsidR="00450425" w:rsidRPr="00BA20B4" w:rsidRDefault="00450425" w:rsidP="00450425">
      <w:pPr>
        <w:jc w:val="both"/>
        <w:rPr>
          <w:rFonts w:ascii="Times New Roman" w:hAnsi="Times New Roman"/>
        </w:rPr>
      </w:pPr>
      <w:r w:rsidRPr="00BA20B4">
        <w:rPr>
          <w:rFonts w:ascii="Times New Roman" w:hAnsi="Times New Roman"/>
        </w:rPr>
        <w:t xml:space="preserve">La siguiente razón es una intervención pública no suficientemente redistributiva en términos cuantitativos y cualitativos; en efecto, el sector público puede intervenir para garantizar cupos suficientes a la población, pero no necesariamente con la </w:t>
      </w:r>
      <w:r w:rsidR="008F52CA">
        <w:rPr>
          <w:rFonts w:ascii="Times New Roman" w:hAnsi="Times New Roman"/>
        </w:rPr>
        <w:t xml:space="preserve">cobertura y con la </w:t>
      </w:r>
      <w:r w:rsidRPr="00BA20B4">
        <w:rPr>
          <w:rFonts w:ascii="Times New Roman" w:hAnsi="Times New Roman"/>
        </w:rPr>
        <w:t xml:space="preserve">calidad requerida para obtener resultados </w:t>
      </w:r>
      <w:r w:rsidR="00383402" w:rsidRPr="007138AC">
        <w:rPr>
          <w:rFonts w:ascii="Times New Roman" w:hAnsi="Times New Roman"/>
        </w:rPr>
        <w:t>adecuados</w:t>
      </w:r>
      <w:r w:rsidRPr="00BA20B4">
        <w:rPr>
          <w:rFonts w:ascii="Times New Roman" w:hAnsi="Times New Roman"/>
        </w:rPr>
        <w:t xml:space="preserve"> en el aprendizaje de los estudiantes. La situación en Bogotá muestra claramente que el sector público ha tenido la capacidad de ampliar la cobertura especialmente en primaria y secundaria</w:t>
      </w:r>
      <w:r w:rsidR="00C635FE">
        <w:rPr>
          <w:rFonts w:ascii="Times New Roman" w:hAnsi="Times New Roman"/>
        </w:rPr>
        <w:t>,</w:t>
      </w:r>
      <w:r w:rsidRPr="00BA20B4">
        <w:rPr>
          <w:rFonts w:ascii="Times New Roman" w:hAnsi="Times New Roman"/>
        </w:rPr>
        <w:t xml:space="preserve"> donde se llega a un </w:t>
      </w:r>
      <w:r w:rsidRPr="00BA20B4">
        <w:rPr>
          <w:rFonts w:ascii="Times New Roman" w:hAnsi="Times New Roman"/>
        </w:rPr>
        <w:lastRenderedPageBreak/>
        <w:t xml:space="preserve">cubrimiento casi completo, pero persisten vacíos </w:t>
      </w:r>
      <w:r w:rsidR="00AC36CA">
        <w:rPr>
          <w:rFonts w:ascii="Times New Roman" w:hAnsi="Times New Roman"/>
        </w:rPr>
        <w:t xml:space="preserve">muy grandes </w:t>
      </w:r>
      <w:r w:rsidRPr="00BA20B4">
        <w:rPr>
          <w:rFonts w:ascii="Times New Roman" w:hAnsi="Times New Roman"/>
        </w:rPr>
        <w:t>en la educación inicial y en la educación superior</w:t>
      </w:r>
      <w:r w:rsidR="00C635FE">
        <w:rPr>
          <w:rFonts w:ascii="Times New Roman" w:hAnsi="Times New Roman"/>
        </w:rPr>
        <w:t>. I</w:t>
      </w:r>
      <w:r w:rsidR="00661EA0">
        <w:rPr>
          <w:rFonts w:ascii="Times New Roman" w:hAnsi="Times New Roman"/>
        </w:rPr>
        <w:t xml:space="preserve">gualmente, se ha avanzado </w:t>
      </w:r>
      <w:r w:rsidRPr="00BA20B4">
        <w:rPr>
          <w:rFonts w:ascii="Times New Roman" w:hAnsi="Times New Roman"/>
        </w:rPr>
        <w:t>en dimensiones de la calidad, pero todavía persisten problemas en la pertinencia del servicio y en sus efectos sobre los estudiantes.</w:t>
      </w:r>
      <w:r w:rsidR="00B70BD5">
        <w:rPr>
          <w:rFonts w:ascii="Times New Roman" w:hAnsi="Times New Roman"/>
        </w:rPr>
        <w:t xml:space="preserve"> </w:t>
      </w:r>
      <w:r w:rsidRPr="00BA20B4">
        <w:rPr>
          <w:rFonts w:ascii="Times New Roman" w:hAnsi="Times New Roman"/>
        </w:rPr>
        <w:t>Paralelamente, en el caso de las personas que acceden a servicios privados</w:t>
      </w:r>
      <w:r w:rsidR="00CB36FE">
        <w:rPr>
          <w:rFonts w:ascii="Times New Roman" w:hAnsi="Times New Roman"/>
        </w:rPr>
        <w:t>,</w:t>
      </w:r>
      <w:r w:rsidRPr="00BA20B4">
        <w:rPr>
          <w:rFonts w:ascii="Times New Roman" w:hAnsi="Times New Roman"/>
        </w:rPr>
        <w:t xml:space="preserve"> la calidad no es buena en un conjunto de colegios y por tanto los resultados en el aprendizaje no son los mejores. </w:t>
      </w:r>
    </w:p>
    <w:p w:rsidR="00450425" w:rsidRDefault="00450425" w:rsidP="005A5B0C">
      <w:pPr>
        <w:jc w:val="both"/>
        <w:rPr>
          <w:rFonts w:ascii="Times New Roman" w:hAnsi="Times New Roman"/>
        </w:rPr>
      </w:pPr>
    </w:p>
    <w:p w:rsidR="00450425" w:rsidRPr="002374A9" w:rsidRDefault="009C13D4" w:rsidP="003C5559">
      <w:pPr>
        <w:pStyle w:val="Ttulo3"/>
        <w:jc w:val="both"/>
        <w:rPr>
          <w:rFonts w:ascii="Times New Roman" w:hAnsi="Times New Roman"/>
          <w:i/>
        </w:rPr>
      </w:pPr>
      <w:bookmarkStart w:id="21" w:name="_Toc362358042"/>
      <w:r>
        <w:rPr>
          <w:rFonts w:ascii="Times New Roman" w:hAnsi="Times New Roman"/>
          <w:i/>
        </w:rPr>
        <w:t>2.4</w:t>
      </w:r>
      <w:r w:rsidR="00450425" w:rsidRPr="002374A9">
        <w:rPr>
          <w:rFonts w:ascii="Times New Roman" w:hAnsi="Times New Roman"/>
          <w:i/>
        </w:rPr>
        <w:t>.1. Las causas que limitan el acceso y la permanencia en el sistema educativo</w:t>
      </w:r>
      <w:bookmarkEnd w:id="21"/>
    </w:p>
    <w:p w:rsidR="00450425" w:rsidRPr="00BA20B4" w:rsidRDefault="00450425" w:rsidP="00450425">
      <w:pPr>
        <w:rPr>
          <w:rFonts w:ascii="Times New Roman" w:hAnsi="Times New Roman"/>
        </w:rPr>
      </w:pPr>
    </w:p>
    <w:p w:rsidR="00450425" w:rsidRPr="00BA20B4" w:rsidRDefault="00450425" w:rsidP="00450425">
      <w:pPr>
        <w:jc w:val="both"/>
        <w:rPr>
          <w:rFonts w:ascii="Times New Roman" w:hAnsi="Times New Roman"/>
        </w:rPr>
      </w:pPr>
      <w:r w:rsidRPr="00BA20B4">
        <w:rPr>
          <w:rFonts w:ascii="Times New Roman" w:hAnsi="Times New Roman"/>
        </w:rPr>
        <w:t xml:space="preserve">El Distrito ha logrado mejorar sustancialmente el acceso de la población al servicio educativo, en especial de la población de menores ingresos y grupos vulnerables. Sin embargo, todavía no se logra el 100% de asistencia escolar en todos los niveles, siendo la situación especialmente difícil en el caso de la educación superior y en la atención a la primera infancia. A continuación se presenta una síntesis de los problemas específicos y sus causas directas: </w:t>
      </w:r>
    </w:p>
    <w:p w:rsidR="00450425" w:rsidRPr="00BA20B4" w:rsidRDefault="00450425" w:rsidP="00450425">
      <w:pPr>
        <w:jc w:val="both"/>
        <w:rPr>
          <w:rFonts w:ascii="Times New Roman" w:hAnsi="Times New Roman"/>
        </w:rPr>
      </w:pPr>
    </w:p>
    <w:p w:rsidR="00DE38C1" w:rsidRDefault="00E17AAA">
      <w:pPr>
        <w:jc w:val="both"/>
        <w:rPr>
          <w:rFonts w:ascii="Times New Roman" w:hAnsi="Times New Roman"/>
        </w:rPr>
      </w:pPr>
      <w:r w:rsidRPr="00E17AAA">
        <w:rPr>
          <w:rFonts w:ascii="Times New Roman" w:hAnsi="Times New Roman"/>
          <w:color w:val="000000"/>
          <w:u w:val="single"/>
        </w:rPr>
        <w:t>Acceso y deserción en educación básica</w:t>
      </w:r>
      <w:r w:rsidR="00450425" w:rsidRPr="00BA20B4">
        <w:rPr>
          <w:rFonts w:ascii="Times New Roman" w:hAnsi="Times New Roman"/>
          <w:color w:val="000000"/>
        </w:rPr>
        <w:t xml:space="preserve">. </w:t>
      </w:r>
      <w:r w:rsidR="00450425" w:rsidRPr="00BA20B4">
        <w:rPr>
          <w:rFonts w:ascii="Times New Roman" w:hAnsi="Times New Roman"/>
        </w:rPr>
        <w:t>El sector educativo oficial de Bogotá no tiene</w:t>
      </w:r>
      <w:r w:rsidR="00501AEA">
        <w:rPr>
          <w:rFonts w:ascii="Times New Roman" w:hAnsi="Times New Roman"/>
        </w:rPr>
        <w:t xml:space="preserve"> todavía</w:t>
      </w:r>
      <w:r w:rsidR="00450425" w:rsidRPr="00BA20B4">
        <w:rPr>
          <w:rFonts w:ascii="Times New Roman" w:hAnsi="Times New Roman"/>
        </w:rPr>
        <w:t xml:space="preserve"> la infraestructura necesaria para atender</w:t>
      </w:r>
      <w:r w:rsidR="004E7847">
        <w:rPr>
          <w:rFonts w:ascii="Times New Roman" w:hAnsi="Times New Roman"/>
        </w:rPr>
        <w:t xml:space="preserve"> toda</w:t>
      </w:r>
      <w:r w:rsidR="00450425" w:rsidRPr="00BA20B4">
        <w:rPr>
          <w:rFonts w:ascii="Times New Roman" w:hAnsi="Times New Roman"/>
        </w:rPr>
        <w:t xml:space="preserve"> la demanda educativa, en especial en ciertas localidades de la ciudad</w:t>
      </w:r>
      <w:r w:rsidR="00501AEA">
        <w:rPr>
          <w:rFonts w:ascii="Times New Roman" w:hAnsi="Times New Roman"/>
        </w:rPr>
        <w:t>.</w:t>
      </w:r>
    </w:p>
    <w:p w:rsidR="00450425" w:rsidRPr="00BA20B4" w:rsidRDefault="00450425" w:rsidP="00450425">
      <w:pPr>
        <w:jc w:val="both"/>
        <w:rPr>
          <w:rFonts w:ascii="Times New Roman" w:hAnsi="Times New Roman"/>
          <w:bCs/>
        </w:rPr>
      </w:pPr>
      <w:r w:rsidRPr="00BA20B4">
        <w:rPr>
          <w:rFonts w:ascii="Times New Roman" w:hAnsi="Times New Roman"/>
          <w:color w:val="000000"/>
        </w:rPr>
        <w:t>Las causas directas</w:t>
      </w:r>
      <w:r w:rsidR="00415300">
        <w:rPr>
          <w:rFonts w:ascii="Times New Roman" w:hAnsi="Times New Roman"/>
          <w:color w:val="000000"/>
        </w:rPr>
        <w:t xml:space="preserve"> o factores incidentes</w:t>
      </w:r>
      <w:r w:rsidRPr="00BA20B4">
        <w:rPr>
          <w:rFonts w:ascii="Times New Roman" w:hAnsi="Times New Roman"/>
          <w:color w:val="000000"/>
        </w:rPr>
        <w:t xml:space="preserve"> de esta</w:t>
      </w:r>
      <w:r w:rsidR="0071295F">
        <w:rPr>
          <w:rFonts w:ascii="Times New Roman" w:hAnsi="Times New Roman"/>
          <w:color w:val="000000"/>
        </w:rPr>
        <w:t>s</w:t>
      </w:r>
      <w:r w:rsidRPr="00BA20B4">
        <w:rPr>
          <w:rFonts w:ascii="Times New Roman" w:hAnsi="Times New Roman"/>
          <w:color w:val="000000"/>
        </w:rPr>
        <w:t xml:space="preserve"> situaci</w:t>
      </w:r>
      <w:r w:rsidR="0071295F">
        <w:rPr>
          <w:rFonts w:ascii="Times New Roman" w:hAnsi="Times New Roman"/>
          <w:color w:val="000000"/>
        </w:rPr>
        <w:t>ones</w:t>
      </w:r>
      <w:r w:rsidRPr="00BA20B4">
        <w:rPr>
          <w:rFonts w:ascii="Times New Roman" w:hAnsi="Times New Roman"/>
          <w:color w:val="000000"/>
        </w:rPr>
        <w:t xml:space="preserve"> son:</w:t>
      </w:r>
    </w:p>
    <w:p w:rsidR="00450425" w:rsidRPr="004E7847" w:rsidRDefault="00E17AAA" w:rsidP="00450425">
      <w:pPr>
        <w:pStyle w:val="Prrafodelista"/>
        <w:numPr>
          <w:ilvl w:val="0"/>
          <w:numId w:val="4"/>
        </w:numPr>
        <w:jc w:val="both"/>
        <w:rPr>
          <w:color w:val="000000"/>
        </w:rPr>
      </w:pPr>
      <w:r w:rsidRPr="00E17AAA">
        <w:rPr>
          <w:color w:val="000000"/>
        </w:rPr>
        <w:t>Desbalances territoriales entre la oferta y la demanda por localidades, originado</w:t>
      </w:r>
      <w:r w:rsidR="00661EA0">
        <w:rPr>
          <w:color w:val="000000"/>
        </w:rPr>
        <w:t>s en el crecimiento urbano desordenado y</w:t>
      </w:r>
      <w:r w:rsidRPr="00E17AAA">
        <w:rPr>
          <w:color w:val="000000"/>
        </w:rPr>
        <w:t xml:space="preserve"> a un ritmo ma</w:t>
      </w:r>
      <w:r w:rsidR="00661EA0">
        <w:rPr>
          <w:color w:val="000000"/>
        </w:rPr>
        <w:t xml:space="preserve">yor a la capacidad de respuesta, </w:t>
      </w:r>
      <w:r w:rsidRPr="00E17AAA">
        <w:rPr>
          <w:color w:val="000000"/>
        </w:rPr>
        <w:t>y en la migración interna de la población.</w:t>
      </w:r>
      <w:r w:rsidR="00FA6862">
        <w:rPr>
          <w:color w:val="000000"/>
        </w:rPr>
        <w:t xml:space="preserve"> Esta situación conduce a que aunque en el agregado la administración tenga cupos suficientes para ofrecer, deba todavía recurrir a los convenios con colegios privados para ofrecer el servicio en ciertas localidades deficitar</w:t>
      </w:r>
      <w:r w:rsidR="004E7847">
        <w:rPr>
          <w:color w:val="000000"/>
        </w:rPr>
        <w:t xml:space="preserve">ias, </w:t>
      </w:r>
      <w:r w:rsidR="004E7847" w:rsidRPr="004E7847">
        <w:rPr>
          <w:color w:val="000000"/>
        </w:rPr>
        <w:t>y a acudir al trasporte escolar o al subsidio de transporte para llevar a los estudiantes de  su localidad de origen a otra</w:t>
      </w:r>
      <w:r w:rsidR="004E7847">
        <w:rPr>
          <w:color w:val="000000"/>
        </w:rPr>
        <w:t>.</w:t>
      </w:r>
    </w:p>
    <w:p w:rsidR="00450425" w:rsidRPr="00690C55" w:rsidRDefault="00E17AAA" w:rsidP="00450425">
      <w:pPr>
        <w:pStyle w:val="Prrafodelista"/>
        <w:numPr>
          <w:ilvl w:val="0"/>
          <w:numId w:val="4"/>
        </w:numPr>
        <w:jc w:val="both"/>
        <w:rPr>
          <w:color w:val="000000"/>
        </w:rPr>
      </w:pPr>
      <w:r w:rsidRPr="00E17AAA">
        <w:rPr>
          <w:color w:val="000000"/>
        </w:rPr>
        <w:t>Limitaciones en el proceso de matrícula del sistema educativo oficial del Distrito</w:t>
      </w:r>
      <w:r w:rsidR="00DF611E">
        <w:rPr>
          <w:color w:val="000000"/>
        </w:rPr>
        <w:t>.</w:t>
      </w:r>
    </w:p>
    <w:p w:rsidR="00450425" w:rsidRPr="00690C55" w:rsidRDefault="00E17AAA" w:rsidP="00450425">
      <w:pPr>
        <w:pStyle w:val="Prrafodelista"/>
        <w:numPr>
          <w:ilvl w:val="0"/>
          <w:numId w:val="4"/>
        </w:numPr>
        <w:jc w:val="both"/>
        <w:rPr>
          <w:color w:val="000000"/>
        </w:rPr>
      </w:pPr>
      <w:r w:rsidRPr="00E17AAA">
        <w:rPr>
          <w:color w:val="000000"/>
        </w:rPr>
        <w:t>Incentivos insuficientes para garantizar la permanencia</w:t>
      </w:r>
      <w:r w:rsidR="00233838">
        <w:rPr>
          <w:color w:val="000000"/>
        </w:rPr>
        <w:t>, asociados a factores culturales que valoran la educación privada sobre la pública.</w:t>
      </w:r>
    </w:p>
    <w:p w:rsidR="0009034F" w:rsidRPr="00690C55" w:rsidDel="0071295F" w:rsidRDefault="00E17AAA" w:rsidP="00450425">
      <w:pPr>
        <w:pStyle w:val="Prrafodelista"/>
        <w:numPr>
          <w:ilvl w:val="0"/>
          <w:numId w:val="4"/>
        </w:numPr>
        <w:jc w:val="both"/>
        <w:rPr>
          <w:color w:val="000000"/>
        </w:rPr>
      </w:pPr>
      <w:r w:rsidRPr="00E17AAA">
        <w:rPr>
          <w:color w:val="000000"/>
        </w:rPr>
        <w:t>Infraestructura y dotación deficiente, así como riesgos elevados, lo cual se debe a un mantenimiento preventivo y correctivo insuficiente.</w:t>
      </w:r>
      <w:r w:rsidRPr="00E17AAA">
        <w:rPr>
          <w:rStyle w:val="Refdenotaalpie"/>
          <w:color w:val="000000"/>
        </w:rPr>
        <w:footnoteReference w:id="80"/>
      </w:r>
    </w:p>
    <w:p w:rsidR="008E59EC" w:rsidRPr="00226C25" w:rsidRDefault="00CC4B04">
      <w:pPr>
        <w:pStyle w:val="Prrafodelista"/>
        <w:numPr>
          <w:ilvl w:val="0"/>
          <w:numId w:val="4"/>
        </w:numPr>
        <w:jc w:val="both"/>
      </w:pPr>
      <w:r w:rsidRPr="00CC4B04">
        <w:rPr>
          <w:color w:val="000000"/>
        </w:rPr>
        <w:t>Limitaciones financieras para ampliar la infraestructura, dotación y programas complementarios.</w:t>
      </w:r>
    </w:p>
    <w:p w:rsidR="009E6540" w:rsidRPr="009E6540" w:rsidRDefault="00226C25">
      <w:pPr>
        <w:pStyle w:val="Prrafodelista"/>
        <w:numPr>
          <w:ilvl w:val="0"/>
          <w:numId w:val="4"/>
        </w:numPr>
        <w:jc w:val="both"/>
      </w:pPr>
      <w:r>
        <w:rPr>
          <w:color w:val="000000"/>
        </w:rPr>
        <w:lastRenderedPageBreak/>
        <w:t>Dificultades para atender a todos los niños, niñas y jóvenes con necesidades educativas especiales.</w:t>
      </w:r>
    </w:p>
    <w:p w:rsidR="00226C25" w:rsidRPr="00122168" w:rsidRDefault="009E6540">
      <w:pPr>
        <w:pStyle w:val="Prrafodelista"/>
        <w:numPr>
          <w:ilvl w:val="0"/>
          <w:numId w:val="4"/>
        </w:numPr>
        <w:jc w:val="both"/>
      </w:pPr>
      <w:r>
        <w:t>Dificultades en el reconocimiento y respeto a las diferencias en el contexto escolar.</w:t>
      </w:r>
    </w:p>
    <w:p w:rsidR="00B65A3A" w:rsidRPr="00BA20B4" w:rsidRDefault="00B65A3A" w:rsidP="00450425">
      <w:pPr>
        <w:jc w:val="both"/>
        <w:rPr>
          <w:rFonts w:ascii="Times New Roman" w:hAnsi="Times New Roman"/>
          <w:color w:val="000000"/>
        </w:rPr>
      </w:pPr>
    </w:p>
    <w:p w:rsidR="00DE38C1" w:rsidRDefault="0072062B">
      <w:pPr>
        <w:jc w:val="both"/>
        <w:rPr>
          <w:rFonts w:ascii="Times New Roman" w:hAnsi="Times New Roman"/>
        </w:rPr>
      </w:pPr>
      <w:r>
        <w:rPr>
          <w:rFonts w:ascii="Times New Roman" w:hAnsi="Times New Roman"/>
          <w:u w:val="single"/>
        </w:rPr>
        <w:t>Educación inicial</w:t>
      </w:r>
      <w:r w:rsidR="00450425" w:rsidRPr="00BA20B4">
        <w:rPr>
          <w:rFonts w:ascii="Times New Roman" w:hAnsi="Times New Roman"/>
        </w:rPr>
        <w:t xml:space="preserve">. Existe en Bogotá </w:t>
      </w:r>
      <w:r w:rsidR="008736A0">
        <w:rPr>
          <w:rFonts w:ascii="Times New Roman" w:hAnsi="Times New Roman"/>
        </w:rPr>
        <w:t xml:space="preserve">una proporción importante de niñas y niños </w:t>
      </w:r>
      <w:r w:rsidR="00450425" w:rsidRPr="00BA20B4">
        <w:rPr>
          <w:rFonts w:ascii="Times New Roman" w:hAnsi="Times New Roman"/>
        </w:rPr>
        <w:t>entre 3 y 5 años de edad, que no recibe atención integral por parte de las entidades distritales</w:t>
      </w:r>
      <w:r w:rsidR="00C3721D">
        <w:rPr>
          <w:rFonts w:ascii="Times New Roman" w:hAnsi="Times New Roman"/>
        </w:rPr>
        <w:t>,</w:t>
      </w:r>
      <w:r w:rsidR="00450425" w:rsidRPr="00BA20B4">
        <w:rPr>
          <w:rFonts w:ascii="Times New Roman" w:hAnsi="Times New Roman"/>
        </w:rPr>
        <w:t xml:space="preserve"> lo que significa que no se le está garantizando el goce efectivo de sus derechos; de igual forma, muchos de los niños y niñas que actualmente son atendidos por la SED en prejardín, jardín y transición no reciben atención integral. Las causas directas</w:t>
      </w:r>
      <w:r w:rsidR="00415300">
        <w:rPr>
          <w:rFonts w:ascii="Times New Roman" w:hAnsi="Times New Roman"/>
        </w:rPr>
        <w:t xml:space="preserve"> o factores incidentes</w:t>
      </w:r>
      <w:r w:rsidR="00450425" w:rsidRPr="00BA20B4">
        <w:rPr>
          <w:rFonts w:ascii="Times New Roman" w:hAnsi="Times New Roman"/>
        </w:rPr>
        <w:t xml:space="preserve"> de esta situación son:</w:t>
      </w:r>
    </w:p>
    <w:p w:rsidR="00314692" w:rsidRPr="00690C55" w:rsidRDefault="00E17AAA" w:rsidP="00450425">
      <w:pPr>
        <w:pStyle w:val="Prrafodelista"/>
        <w:numPr>
          <w:ilvl w:val="0"/>
          <w:numId w:val="4"/>
        </w:numPr>
        <w:jc w:val="both"/>
      </w:pPr>
      <w:r w:rsidRPr="00E17AAA">
        <w:t>Preferencia de las familias por cuidar a sus hijos en la casa</w:t>
      </w:r>
      <w:r w:rsidRPr="00E17AAA">
        <w:rPr>
          <w:rStyle w:val="Refdenotaalpie"/>
        </w:rPr>
        <w:footnoteReference w:id="81"/>
      </w:r>
      <w:r w:rsidRPr="00E17AAA">
        <w:t>.</w:t>
      </w:r>
    </w:p>
    <w:p w:rsidR="00450425" w:rsidRPr="00690C55" w:rsidRDefault="00E17AAA" w:rsidP="00450425">
      <w:pPr>
        <w:pStyle w:val="Prrafodelista"/>
        <w:numPr>
          <w:ilvl w:val="0"/>
          <w:numId w:val="4"/>
        </w:numPr>
        <w:jc w:val="both"/>
      </w:pPr>
      <w:r w:rsidRPr="00E17AAA">
        <w:t>Histórica, cultural y educativamente las necesidades específicas de los niños y las niñas de primera infancia han sido invisibilizadas.</w:t>
      </w:r>
    </w:p>
    <w:p w:rsidR="003C3803" w:rsidRPr="00690C55" w:rsidRDefault="00E17AAA" w:rsidP="00F6587C">
      <w:pPr>
        <w:pStyle w:val="Prrafodelista"/>
        <w:numPr>
          <w:ilvl w:val="0"/>
          <w:numId w:val="4"/>
        </w:numPr>
        <w:jc w:val="both"/>
        <w:rPr>
          <w:rFonts w:cs="Arial"/>
        </w:rPr>
      </w:pPr>
      <w:r w:rsidRPr="00E17AAA">
        <w:rPr>
          <w:color w:val="000000"/>
        </w:rPr>
        <w:t>Dentro de la  política educativa orientada desde la SED, la primera infancia no ha tenido un lugar relevante, por lo que no ha contado con los recursos y  la capacidad suficiente para brindar atención integral a los niños y niñas de 3 a 5 años</w:t>
      </w:r>
      <w:r w:rsidRPr="00E17AAA">
        <w:rPr>
          <w:rStyle w:val="Refdenotaalpie"/>
          <w:color w:val="000000"/>
        </w:rPr>
        <w:footnoteReference w:id="82"/>
      </w:r>
      <w:r w:rsidRPr="00E17AAA">
        <w:rPr>
          <w:color w:val="000000"/>
        </w:rPr>
        <w:t>.</w:t>
      </w:r>
    </w:p>
    <w:p w:rsidR="00450425" w:rsidRDefault="00450425" w:rsidP="005A5B0C">
      <w:pPr>
        <w:jc w:val="both"/>
        <w:rPr>
          <w:rFonts w:ascii="Times New Roman" w:hAnsi="Times New Roman"/>
        </w:rPr>
      </w:pPr>
    </w:p>
    <w:p w:rsidR="00DE38C1" w:rsidRDefault="00E17AAA">
      <w:pPr>
        <w:jc w:val="both"/>
        <w:rPr>
          <w:rFonts w:ascii="Times New Roman" w:hAnsi="Times New Roman"/>
        </w:rPr>
      </w:pPr>
      <w:r w:rsidRPr="00E17AAA">
        <w:rPr>
          <w:rFonts w:ascii="Times New Roman" w:hAnsi="Times New Roman"/>
          <w:u w:val="single"/>
        </w:rPr>
        <w:t>Educación media</w:t>
      </w:r>
      <w:r w:rsidR="00D470A4">
        <w:rPr>
          <w:rFonts w:ascii="Times New Roman" w:hAnsi="Times New Roman"/>
        </w:rPr>
        <w:t xml:space="preserve">. </w:t>
      </w:r>
      <w:r w:rsidR="00D470A4" w:rsidRPr="00BA20B4">
        <w:rPr>
          <w:rFonts w:ascii="Times New Roman" w:hAnsi="Times New Roman"/>
        </w:rPr>
        <w:t>Bogotá no ha alcanzado una cobertura completa de la educación media lo cual afecta principa</w:t>
      </w:r>
      <w:r w:rsidR="00D470A4">
        <w:rPr>
          <w:rFonts w:ascii="Times New Roman" w:hAnsi="Times New Roman"/>
        </w:rPr>
        <w:t xml:space="preserve">lmente a la población </w:t>
      </w:r>
      <w:r w:rsidR="00176F4D">
        <w:rPr>
          <w:rFonts w:ascii="Times New Roman" w:hAnsi="Times New Roman"/>
        </w:rPr>
        <w:t>con menores ingresos</w:t>
      </w:r>
      <w:r w:rsidR="00D470A4">
        <w:rPr>
          <w:rFonts w:ascii="Times New Roman" w:hAnsi="Times New Roman"/>
        </w:rPr>
        <w:t xml:space="preserve"> y s</w:t>
      </w:r>
      <w:r w:rsidR="00D470A4" w:rsidRPr="00BA20B4">
        <w:rPr>
          <w:rFonts w:ascii="Times New Roman" w:hAnsi="Times New Roman"/>
        </w:rPr>
        <w:t>e presenta una elevada deserción de los estudiantes, en especial en los</w:t>
      </w:r>
      <w:r w:rsidR="00637472">
        <w:rPr>
          <w:rFonts w:ascii="Times New Roman" w:hAnsi="Times New Roman"/>
        </w:rPr>
        <w:t xml:space="preserve"> estratos 1 y 2</w:t>
      </w:r>
      <w:r w:rsidR="00D470A4" w:rsidRPr="00BA20B4">
        <w:rPr>
          <w:rFonts w:ascii="Times New Roman" w:hAnsi="Times New Roman"/>
        </w:rPr>
        <w:t>.</w:t>
      </w:r>
    </w:p>
    <w:p w:rsidR="00D470A4" w:rsidRPr="00BA20B4" w:rsidRDefault="00415300" w:rsidP="00D470A4">
      <w:pPr>
        <w:rPr>
          <w:rFonts w:ascii="Times New Roman" w:hAnsi="Times New Roman"/>
        </w:rPr>
      </w:pPr>
      <w:r>
        <w:rPr>
          <w:rFonts w:ascii="Times New Roman" w:hAnsi="Times New Roman"/>
        </w:rPr>
        <w:t>Las c</w:t>
      </w:r>
      <w:r w:rsidR="00D470A4" w:rsidRPr="00BA20B4">
        <w:rPr>
          <w:rFonts w:ascii="Times New Roman" w:hAnsi="Times New Roman"/>
        </w:rPr>
        <w:t>ausas</w:t>
      </w:r>
      <w:r>
        <w:rPr>
          <w:rFonts w:ascii="Times New Roman" w:hAnsi="Times New Roman"/>
        </w:rPr>
        <w:t xml:space="preserve"> directas </w:t>
      </w:r>
      <w:r w:rsidR="00D470A4" w:rsidRPr="00BA20B4">
        <w:rPr>
          <w:rFonts w:ascii="Times New Roman" w:hAnsi="Times New Roman"/>
        </w:rPr>
        <w:t xml:space="preserve"> o factores incidentes</w:t>
      </w:r>
      <w:r w:rsidR="00637472">
        <w:rPr>
          <w:rFonts w:ascii="Times New Roman" w:hAnsi="Times New Roman"/>
        </w:rPr>
        <w:t xml:space="preserve"> son</w:t>
      </w:r>
      <w:r w:rsidR="00D470A4" w:rsidRPr="00BA20B4">
        <w:rPr>
          <w:rFonts w:ascii="Times New Roman" w:hAnsi="Times New Roman"/>
        </w:rPr>
        <w:t>:</w:t>
      </w:r>
    </w:p>
    <w:p w:rsidR="00DE38C1" w:rsidRDefault="00E17AAA">
      <w:pPr>
        <w:pStyle w:val="Prrafodelista"/>
        <w:numPr>
          <w:ilvl w:val="0"/>
          <w:numId w:val="9"/>
        </w:numPr>
        <w:jc w:val="both"/>
      </w:pPr>
      <w:r w:rsidRPr="00E17AAA">
        <w:t>Carencia de recursos económicos para financiar la educación por parte de las familias más pobres y para cubrir gastos complementarios de transporte, alimentación y otros.</w:t>
      </w:r>
    </w:p>
    <w:p w:rsidR="00D470A4" w:rsidRPr="000E07C9" w:rsidRDefault="00E17AAA" w:rsidP="00DC2C23">
      <w:pPr>
        <w:pStyle w:val="Prrafodelista"/>
        <w:numPr>
          <w:ilvl w:val="0"/>
          <w:numId w:val="9"/>
        </w:numPr>
        <w:jc w:val="both"/>
      </w:pPr>
      <w:r w:rsidRPr="00E17AAA">
        <w:t xml:space="preserve">Necesidad de generar recursos para apoyar </w:t>
      </w:r>
      <w:r w:rsidR="00637472">
        <w:t xml:space="preserve">a </w:t>
      </w:r>
      <w:r w:rsidRPr="00E17AAA">
        <w:t>la</w:t>
      </w:r>
      <w:r w:rsidR="00637472">
        <w:t>s</w:t>
      </w:r>
      <w:r w:rsidRPr="00E17AAA">
        <w:t xml:space="preserve"> familias y los gastos propios de sostenimiento.</w:t>
      </w:r>
    </w:p>
    <w:p w:rsidR="00DE38C1" w:rsidRDefault="00E17AAA">
      <w:pPr>
        <w:pStyle w:val="Prrafodelista"/>
        <w:numPr>
          <w:ilvl w:val="0"/>
          <w:numId w:val="9"/>
        </w:numPr>
        <w:jc w:val="both"/>
      </w:pPr>
      <w:r w:rsidRPr="00E17AAA">
        <w:t>Desánimo con el estudio por su poca pertinencia y atractivo para los estudiantes y reducidas perspectivas laborales.</w:t>
      </w:r>
    </w:p>
    <w:p w:rsidR="00D470A4" w:rsidRDefault="00D470A4" w:rsidP="005A5B0C">
      <w:pPr>
        <w:jc w:val="both"/>
        <w:rPr>
          <w:rFonts w:ascii="Times New Roman" w:hAnsi="Times New Roman"/>
        </w:rPr>
      </w:pPr>
    </w:p>
    <w:p w:rsidR="00DE38C1" w:rsidRDefault="00E17AAA">
      <w:pPr>
        <w:jc w:val="both"/>
        <w:rPr>
          <w:rFonts w:ascii="Times New Roman" w:hAnsi="Times New Roman"/>
        </w:rPr>
      </w:pPr>
      <w:r w:rsidRPr="00E17AAA">
        <w:rPr>
          <w:rFonts w:ascii="Times New Roman" w:hAnsi="Times New Roman"/>
          <w:u w:val="single"/>
        </w:rPr>
        <w:t>Educación superior</w:t>
      </w:r>
      <w:r w:rsidR="00730C48" w:rsidRPr="00D63F1D">
        <w:rPr>
          <w:rFonts w:ascii="Times New Roman" w:hAnsi="Times New Roman"/>
        </w:rPr>
        <w:t>. Bogotá tiene una cobertura baja de acceso a la educación superior y tasas elevadas de deserción</w:t>
      </w:r>
      <w:r w:rsidR="00415300">
        <w:rPr>
          <w:rFonts w:ascii="Times New Roman" w:hAnsi="Times New Roman"/>
        </w:rPr>
        <w:t>, especialmente entre la población más pobre.</w:t>
      </w:r>
      <w:r w:rsidR="007B019F">
        <w:rPr>
          <w:rFonts w:ascii="Times New Roman" w:hAnsi="Times New Roman"/>
        </w:rPr>
        <w:t xml:space="preserve"> Las causas directas o factores incidentes son:</w:t>
      </w:r>
    </w:p>
    <w:p w:rsidR="00730C48" w:rsidRPr="000E07C9" w:rsidRDefault="00E17AAA" w:rsidP="00B22C68">
      <w:pPr>
        <w:pStyle w:val="Prrafodelista"/>
        <w:numPr>
          <w:ilvl w:val="0"/>
          <w:numId w:val="9"/>
        </w:numPr>
        <w:jc w:val="both"/>
      </w:pPr>
      <w:r w:rsidRPr="00E17AAA">
        <w:t>Carencia de recursos económicos para financiar la educación y sostenimiento por parte de las familias más pobres.</w:t>
      </w:r>
    </w:p>
    <w:p w:rsidR="00730C48" w:rsidRPr="000E07C9" w:rsidRDefault="00E17AAA" w:rsidP="00B22C68">
      <w:pPr>
        <w:pStyle w:val="Prrafodelista"/>
        <w:numPr>
          <w:ilvl w:val="0"/>
          <w:numId w:val="9"/>
        </w:numPr>
        <w:jc w:val="both"/>
      </w:pPr>
      <w:r w:rsidRPr="00E17AAA">
        <w:t xml:space="preserve">Necesidad de generar recursos para apoyar </w:t>
      </w:r>
      <w:r w:rsidR="00637472">
        <w:t xml:space="preserve">a </w:t>
      </w:r>
      <w:r w:rsidRPr="00E17AAA">
        <w:t>la</w:t>
      </w:r>
      <w:r w:rsidR="00637472">
        <w:t>s</w:t>
      </w:r>
      <w:r w:rsidRPr="00E17AAA">
        <w:t xml:space="preserve"> familias y los gastos propios de sostenimiento.</w:t>
      </w:r>
    </w:p>
    <w:p w:rsidR="00730C48" w:rsidRPr="000E07C9" w:rsidRDefault="00694DD4" w:rsidP="00B22C68">
      <w:pPr>
        <w:pStyle w:val="Prrafodelista"/>
        <w:numPr>
          <w:ilvl w:val="0"/>
          <w:numId w:val="9"/>
        </w:numPr>
        <w:jc w:val="both"/>
      </w:pPr>
      <w:r>
        <w:t>Bajos</w:t>
      </w:r>
      <w:r w:rsidR="00E17AAA" w:rsidRPr="00E17AAA">
        <w:t xml:space="preserve"> resultados en las pruebas SABER</w:t>
      </w:r>
      <w:r w:rsidR="00521D9F">
        <w:t xml:space="preserve"> 11</w:t>
      </w:r>
      <w:r w:rsidR="00E17AAA" w:rsidRPr="00E17AAA">
        <w:t xml:space="preserve"> que limitan el acceso y buen desempeño, lo cual afecta especialmente a la población más pobre</w:t>
      </w:r>
      <w:r w:rsidR="00E864C2">
        <w:t>.</w:t>
      </w:r>
    </w:p>
    <w:p w:rsidR="00730C48" w:rsidRPr="000E07C9" w:rsidRDefault="00E17AAA" w:rsidP="00B22C68">
      <w:pPr>
        <w:pStyle w:val="Prrafodelista"/>
        <w:numPr>
          <w:ilvl w:val="0"/>
          <w:numId w:val="9"/>
        </w:numPr>
        <w:jc w:val="both"/>
      </w:pPr>
      <w:r w:rsidRPr="00E17AAA">
        <w:t>Oferta pública distrital limitada</w:t>
      </w:r>
      <w:r w:rsidR="00E864C2">
        <w:t>.</w:t>
      </w:r>
    </w:p>
    <w:p w:rsidR="00730C48" w:rsidRPr="000E07C9" w:rsidRDefault="00E17AAA" w:rsidP="00B22C68">
      <w:pPr>
        <w:pStyle w:val="Prrafodelista"/>
        <w:numPr>
          <w:ilvl w:val="0"/>
          <w:numId w:val="9"/>
        </w:numPr>
        <w:jc w:val="both"/>
      </w:pPr>
      <w:r w:rsidRPr="00E17AAA">
        <w:lastRenderedPageBreak/>
        <w:t>Desánimo con el estudio por su poca pertinencia y atractivo para los estudiantes y reducidas perspectivas laborales.</w:t>
      </w:r>
    </w:p>
    <w:p w:rsidR="00730C48" w:rsidRDefault="00730C48" w:rsidP="005A5B0C">
      <w:pPr>
        <w:jc w:val="both"/>
        <w:rPr>
          <w:rFonts w:ascii="Times New Roman" w:hAnsi="Times New Roman"/>
          <w:sz w:val="22"/>
        </w:rPr>
      </w:pPr>
    </w:p>
    <w:p w:rsidR="005A5B0C" w:rsidRPr="002374A9" w:rsidRDefault="007C45C7" w:rsidP="007C45C7">
      <w:pPr>
        <w:pStyle w:val="Ttulo3"/>
        <w:rPr>
          <w:rFonts w:ascii="Times New Roman" w:hAnsi="Times New Roman"/>
          <w:i/>
        </w:rPr>
      </w:pPr>
      <w:bookmarkStart w:id="22" w:name="_Toc362358043"/>
      <w:r w:rsidRPr="002374A9">
        <w:rPr>
          <w:rFonts w:ascii="Times New Roman" w:hAnsi="Times New Roman"/>
          <w:i/>
        </w:rPr>
        <w:t>2.</w:t>
      </w:r>
      <w:r w:rsidR="009C13D4">
        <w:rPr>
          <w:rFonts w:ascii="Times New Roman" w:hAnsi="Times New Roman"/>
          <w:i/>
        </w:rPr>
        <w:t>4</w:t>
      </w:r>
      <w:r w:rsidRPr="002374A9">
        <w:rPr>
          <w:rFonts w:ascii="Times New Roman" w:hAnsi="Times New Roman"/>
          <w:i/>
        </w:rPr>
        <w:t>.</w:t>
      </w:r>
      <w:r w:rsidR="00450425" w:rsidRPr="002374A9">
        <w:rPr>
          <w:rFonts w:ascii="Times New Roman" w:hAnsi="Times New Roman"/>
          <w:i/>
        </w:rPr>
        <w:t>2.</w:t>
      </w:r>
      <w:r w:rsidR="005A5B0C" w:rsidRPr="002374A9">
        <w:rPr>
          <w:rFonts w:ascii="Times New Roman" w:hAnsi="Times New Roman"/>
          <w:i/>
        </w:rPr>
        <w:t>Las causas que limitan la calidad del servicio educativo</w:t>
      </w:r>
      <w:bookmarkEnd w:id="22"/>
    </w:p>
    <w:p w:rsidR="005A5B0C" w:rsidRPr="00BA20B4" w:rsidRDefault="005A5B0C" w:rsidP="005A5B0C">
      <w:pPr>
        <w:jc w:val="both"/>
        <w:rPr>
          <w:rFonts w:ascii="Times New Roman" w:hAnsi="Times New Roman"/>
        </w:rPr>
      </w:pPr>
    </w:p>
    <w:p w:rsidR="005A5B0C" w:rsidRPr="00541FBC" w:rsidRDefault="005A5B0C" w:rsidP="00541FBC">
      <w:pPr>
        <w:jc w:val="both"/>
        <w:rPr>
          <w:rFonts w:ascii="Times New Roman" w:hAnsi="Times New Roman"/>
          <w:color w:val="000000"/>
        </w:rPr>
      </w:pPr>
      <w:r w:rsidRPr="00BA20B4">
        <w:rPr>
          <w:rFonts w:ascii="Times New Roman" w:hAnsi="Times New Roman"/>
        </w:rPr>
        <w:t xml:space="preserve">En buena medida, los </w:t>
      </w:r>
      <w:r w:rsidR="005C75DA">
        <w:rPr>
          <w:rFonts w:ascii="Times New Roman" w:hAnsi="Times New Roman"/>
        </w:rPr>
        <w:t>insuficientes</w:t>
      </w:r>
      <w:r w:rsidRPr="00BA20B4">
        <w:rPr>
          <w:rFonts w:ascii="Times New Roman" w:hAnsi="Times New Roman"/>
        </w:rPr>
        <w:t xml:space="preserve"> resultados en cuanto a los niveles educativos y de formación de los estudiantes</w:t>
      </w:r>
      <w:r w:rsidR="00C67B65">
        <w:rPr>
          <w:rFonts w:ascii="Times New Roman" w:hAnsi="Times New Roman"/>
        </w:rPr>
        <w:t>,</w:t>
      </w:r>
      <w:r w:rsidRPr="00BA20B4">
        <w:rPr>
          <w:rFonts w:ascii="Times New Roman" w:hAnsi="Times New Roman"/>
        </w:rPr>
        <w:t xml:space="preserve"> y de los bogotanos en general, están asociados a deficiencias en la cal</w:t>
      </w:r>
      <w:r w:rsidR="003A559D" w:rsidRPr="00BA20B4">
        <w:rPr>
          <w:rFonts w:ascii="Times New Roman" w:hAnsi="Times New Roman"/>
        </w:rPr>
        <w:t>idad de los procesos educativos y</w:t>
      </w:r>
      <w:r w:rsidR="00790008">
        <w:rPr>
          <w:rFonts w:ascii="Times New Roman" w:hAnsi="Times New Roman"/>
        </w:rPr>
        <w:t xml:space="preserve"> de los insumos</w:t>
      </w:r>
      <w:r w:rsidR="00B70BD5">
        <w:rPr>
          <w:rFonts w:ascii="Times New Roman" w:hAnsi="Times New Roman"/>
        </w:rPr>
        <w:t xml:space="preserve"> </w:t>
      </w:r>
      <w:r w:rsidRPr="00BA20B4">
        <w:rPr>
          <w:rFonts w:ascii="Times New Roman" w:hAnsi="Times New Roman"/>
        </w:rPr>
        <w:t xml:space="preserve">en aspectos como: </w:t>
      </w:r>
      <w:r w:rsidR="005E76C9">
        <w:rPr>
          <w:rFonts w:ascii="Times New Roman" w:hAnsi="Times New Roman"/>
        </w:rPr>
        <w:t xml:space="preserve">a) Pedagogía; b) Duración de la jornada académica; c) Formación en ciudadanía y convivencia; d)Pertinencia de la educación media; e) Evaluación de la calidad; f) </w:t>
      </w:r>
      <w:r w:rsidR="00541FBC">
        <w:rPr>
          <w:rFonts w:ascii="Times New Roman" w:hAnsi="Times New Roman"/>
        </w:rPr>
        <w:t xml:space="preserve">Disponibilidad y uso de </w:t>
      </w:r>
      <w:r w:rsidR="00541FBC" w:rsidRPr="00BA20B4">
        <w:rPr>
          <w:rFonts w:ascii="Times New Roman" w:hAnsi="Times New Roman"/>
          <w:color w:val="000000"/>
        </w:rPr>
        <w:t>Tecnología</w:t>
      </w:r>
      <w:r w:rsidR="00541FBC">
        <w:rPr>
          <w:rFonts w:ascii="Times New Roman" w:hAnsi="Times New Roman"/>
          <w:color w:val="000000"/>
        </w:rPr>
        <w:t>s de información y comunicación; g</w:t>
      </w:r>
      <w:r w:rsidR="00A55380">
        <w:rPr>
          <w:rFonts w:ascii="Times New Roman" w:hAnsi="Times New Roman"/>
          <w:color w:val="000000"/>
        </w:rPr>
        <w:t>)</w:t>
      </w:r>
      <w:r w:rsidR="005E76C9">
        <w:rPr>
          <w:rFonts w:ascii="Times New Roman" w:hAnsi="Times New Roman"/>
        </w:rPr>
        <w:t xml:space="preserve">Inclusión y respeto por la diferencia; </w:t>
      </w:r>
      <w:r w:rsidR="00541FBC">
        <w:rPr>
          <w:rFonts w:ascii="Times New Roman" w:hAnsi="Times New Roman"/>
        </w:rPr>
        <w:t>h</w:t>
      </w:r>
      <w:r w:rsidR="005E76C9">
        <w:rPr>
          <w:rFonts w:ascii="Times New Roman" w:hAnsi="Times New Roman"/>
        </w:rPr>
        <w:t xml:space="preserve">) </w:t>
      </w:r>
      <w:r w:rsidR="004A1A3B">
        <w:rPr>
          <w:rFonts w:ascii="Times New Roman" w:hAnsi="Times New Roman"/>
        </w:rPr>
        <w:t>Calidad</w:t>
      </w:r>
      <w:r w:rsidR="00694DD4">
        <w:rPr>
          <w:rFonts w:ascii="Times New Roman" w:hAnsi="Times New Roman"/>
        </w:rPr>
        <w:t xml:space="preserve"> y motivación</w:t>
      </w:r>
      <w:r w:rsidR="004A1A3B">
        <w:rPr>
          <w:rFonts w:ascii="Times New Roman" w:hAnsi="Times New Roman"/>
        </w:rPr>
        <w:t xml:space="preserve"> de los d</w:t>
      </w:r>
      <w:r w:rsidR="005E76C9">
        <w:rPr>
          <w:rFonts w:ascii="Times New Roman" w:hAnsi="Times New Roman"/>
        </w:rPr>
        <w:t>ocentes</w:t>
      </w:r>
      <w:r w:rsidR="00A55380">
        <w:rPr>
          <w:rFonts w:ascii="Times New Roman" w:hAnsi="Times New Roman"/>
        </w:rPr>
        <w:t>; e i) R</w:t>
      </w:r>
      <w:r w:rsidR="00541FBC">
        <w:rPr>
          <w:rFonts w:ascii="Times New Roman" w:hAnsi="Times New Roman"/>
        </w:rPr>
        <w:t>estricciones del marco jurídico nacional</w:t>
      </w:r>
      <w:r w:rsidR="00A55380">
        <w:rPr>
          <w:rFonts w:ascii="Times New Roman" w:hAnsi="Times New Roman"/>
        </w:rPr>
        <w:t xml:space="preserve">. </w:t>
      </w:r>
      <w:r w:rsidR="00F145E4" w:rsidRPr="00BA20B4">
        <w:rPr>
          <w:rFonts w:ascii="Times New Roman" w:hAnsi="Times New Roman"/>
        </w:rPr>
        <w:t>A continuación examinamos estos problemas</w:t>
      </w:r>
      <w:r w:rsidR="0071295F">
        <w:rPr>
          <w:rFonts w:ascii="Times New Roman" w:hAnsi="Times New Roman"/>
        </w:rPr>
        <w:t xml:space="preserve"> específicos</w:t>
      </w:r>
      <w:r w:rsidR="00F145E4" w:rsidRPr="00BA20B4">
        <w:rPr>
          <w:rFonts w:ascii="Times New Roman" w:hAnsi="Times New Roman"/>
        </w:rPr>
        <w:t>.</w:t>
      </w:r>
    </w:p>
    <w:p w:rsidR="00F63F6B" w:rsidRDefault="00F63F6B">
      <w:pPr>
        <w:jc w:val="both"/>
        <w:rPr>
          <w:rFonts w:ascii="Times New Roman" w:hAnsi="Times New Roman"/>
        </w:rPr>
      </w:pPr>
    </w:p>
    <w:p w:rsidR="00DE38C1" w:rsidRDefault="00E17AAA">
      <w:pPr>
        <w:jc w:val="both"/>
        <w:rPr>
          <w:rFonts w:ascii="Times New Roman" w:hAnsi="Times New Roman"/>
        </w:rPr>
      </w:pPr>
      <w:r w:rsidRPr="00E17AAA">
        <w:rPr>
          <w:rFonts w:ascii="Times New Roman" w:hAnsi="Times New Roman"/>
          <w:color w:val="000000"/>
          <w:u w:val="single"/>
        </w:rPr>
        <w:t>Pedagogía.</w:t>
      </w:r>
      <w:r w:rsidR="00B70BD5">
        <w:rPr>
          <w:rFonts w:ascii="Times New Roman" w:hAnsi="Times New Roman"/>
          <w:color w:val="000000"/>
          <w:u w:val="single"/>
        </w:rPr>
        <w:t xml:space="preserve"> </w:t>
      </w:r>
      <w:r w:rsidR="003D06A4" w:rsidRPr="00BA20B4">
        <w:rPr>
          <w:rFonts w:ascii="Times New Roman" w:hAnsi="Times New Roman"/>
        </w:rPr>
        <w:t>Los procesos pedagógicos en los colegios públicos del distrito presentan</w:t>
      </w:r>
      <w:r w:rsidR="00CB17A2">
        <w:rPr>
          <w:rFonts w:ascii="Times New Roman" w:hAnsi="Times New Roman"/>
        </w:rPr>
        <w:t>,</w:t>
      </w:r>
      <w:r w:rsidR="00B70BD5">
        <w:rPr>
          <w:rFonts w:ascii="Times New Roman" w:hAnsi="Times New Roman"/>
        </w:rPr>
        <w:t xml:space="preserve"> </w:t>
      </w:r>
      <w:r w:rsidR="00B22C68">
        <w:rPr>
          <w:rFonts w:ascii="Times New Roman" w:hAnsi="Times New Roman"/>
        </w:rPr>
        <w:t xml:space="preserve">a pesar de los avances, </w:t>
      </w:r>
      <w:r w:rsidR="003D06A4" w:rsidRPr="00BA20B4">
        <w:rPr>
          <w:rFonts w:ascii="Times New Roman" w:hAnsi="Times New Roman"/>
        </w:rPr>
        <w:t>serias limitaciones tanto en las metodologías de enseñanza como en los contenidos: a) No tienen</w:t>
      </w:r>
      <w:r w:rsidR="00694DD4">
        <w:rPr>
          <w:rFonts w:ascii="Times New Roman" w:hAnsi="Times New Roman"/>
        </w:rPr>
        <w:t xml:space="preserve"> en muchos casos</w:t>
      </w:r>
      <w:r w:rsidR="003D06A4" w:rsidRPr="00BA20B4">
        <w:rPr>
          <w:rFonts w:ascii="Times New Roman" w:hAnsi="Times New Roman"/>
        </w:rPr>
        <w:t xml:space="preserve"> un enfoque pedagógico fundamentado en la actividad</w:t>
      </w:r>
      <w:r w:rsidR="000C2BF9">
        <w:rPr>
          <w:rFonts w:ascii="Times New Roman" w:hAnsi="Times New Roman"/>
        </w:rPr>
        <w:t xml:space="preserve"> del estudiante</w:t>
      </w:r>
      <w:r w:rsidR="003D06A4" w:rsidRPr="00BA20B4">
        <w:rPr>
          <w:rFonts w:ascii="Times New Roman" w:hAnsi="Times New Roman"/>
        </w:rPr>
        <w:t xml:space="preserve"> como base para la generación de conocimientos, habilidades y valores, </w:t>
      </w:r>
      <w:r w:rsidR="003C0948">
        <w:rPr>
          <w:rFonts w:ascii="Times New Roman" w:hAnsi="Times New Roman"/>
        </w:rPr>
        <w:t>ni se da</w:t>
      </w:r>
      <w:r w:rsidR="003D06A4" w:rsidRPr="00BA20B4">
        <w:rPr>
          <w:rFonts w:ascii="Times New Roman" w:hAnsi="Times New Roman"/>
        </w:rPr>
        <w:t xml:space="preserve"> prioridad al lenguaje como elemento básico del conocimiento en todas las áreas; b) La estructura curricular </w:t>
      </w:r>
      <w:r w:rsidR="00C67B65">
        <w:rPr>
          <w:rFonts w:ascii="Times New Roman" w:hAnsi="Times New Roman"/>
        </w:rPr>
        <w:t>no está suficientemente articulada</w:t>
      </w:r>
      <w:r w:rsidR="003D06A4" w:rsidRPr="00BA20B4">
        <w:rPr>
          <w:rFonts w:ascii="Times New Roman" w:hAnsi="Times New Roman"/>
        </w:rPr>
        <w:t xml:space="preserve"> y </w:t>
      </w:r>
      <w:r w:rsidR="00C67B65">
        <w:rPr>
          <w:rFonts w:ascii="Times New Roman" w:hAnsi="Times New Roman"/>
        </w:rPr>
        <w:t xml:space="preserve">es </w:t>
      </w:r>
      <w:r w:rsidR="003D06A4" w:rsidRPr="00BA20B4">
        <w:rPr>
          <w:rFonts w:ascii="Times New Roman" w:hAnsi="Times New Roman"/>
        </w:rPr>
        <w:t>poco pertinente a los ciclos de formación de los estudiantes; c) No se incluye adecuadamente, tanto en términos cualitativos como cuantitativos</w:t>
      </w:r>
      <w:r w:rsidR="00CB17A2">
        <w:rPr>
          <w:rFonts w:ascii="Times New Roman" w:hAnsi="Times New Roman"/>
        </w:rPr>
        <w:t>,</w:t>
      </w:r>
      <w:r w:rsidR="003D06A4" w:rsidRPr="00BA20B4">
        <w:rPr>
          <w:rFonts w:ascii="Times New Roman" w:hAnsi="Times New Roman"/>
        </w:rPr>
        <w:t xml:space="preserve"> la educación ambiental, segunda lengua</w:t>
      </w:r>
      <w:r w:rsidR="0072062B">
        <w:rPr>
          <w:rFonts w:ascii="Times New Roman" w:hAnsi="Times New Roman"/>
        </w:rPr>
        <w:t>, arte, deporte</w:t>
      </w:r>
      <w:r w:rsidR="003D06A4" w:rsidRPr="00BA20B4">
        <w:rPr>
          <w:rFonts w:ascii="Times New Roman" w:hAnsi="Times New Roman"/>
        </w:rPr>
        <w:t xml:space="preserve"> y la vinculación con el contexto; d) La cobertura de bibliotecas escolares</w:t>
      </w:r>
      <w:r w:rsidR="0072062B">
        <w:rPr>
          <w:rFonts w:ascii="Times New Roman" w:hAnsi="Times New Roman"/>
        </w:rPr>
        <w:t>, acceso a internet y otros medios educativos</w:t>
      </w:r>
      <w:r w:rsidR="003D06A4" w:rsidRPr="00BA20B4">
        <w:rPr>
          <w:rFonts w:ascii="Times New Roman" w:hAnsi="Times New Roman"/>
        </w:rPr>
        <w:t xml:space="preserve"> es baja</w:t>
      </w:r>
      <w:r w:rsidR="00582920">
        <w:rPr>
          <w:rFonts w:ascii="Times New Roman" w:hAnsi="Times New Roman"/>
        </w:rPr>
        <w:t xml:space="preserve">, la dotación es escasa </w:t>
      </w:r>
      <w:r w:rsidR="003D06A4" w:rsidRPr="00BA20B4">
        <w:rPr>
          <w:rFonts w:ascii="Times New Roman" w:hAnsi="Times New Roman"/>
        </w:rPr>
        <w:t>y su operación no se encuentra claramente articulada al currículo.</w:t>
      </w:r>
      <w:r w:rsidR="00B70BD5">
        <w:rPr>
          <w:rFonts w:ascii="Times New Roman" w:hAnsi="Times New Roman"/>
        </w:rPr>
        <w:t xml:space="preserve"> </w:t>
      </w:r>
      <w:r w:rsidR="00CE5311" w:rsidRPr="00BA20B4">
        <w:rPr>
          <w:rFonts w:ascii="Times New Roman" w:hAnsi="Times New Roman"/>
        </w:rPr>
        <w:t>Estos problemas específicos se deben a su vez a:</w:t>
      </w:r>
    </w:p>
    <w:p w:rsidR="008E59EC" w:rsidRDefault="00CE5311">
      <w:pPr>
        <w:pStyle w:val="Prrafodelista"/>
        <w:numPr>
          <w:ilvl w:val="0"/>
          <w:numId w:val="9"/>
        </w:numPr>
        <w:jc w:val="both"/>
      </w:pPr>
      <w:r w:rsidRPr="00BA20B4">
        <w:t>Rezagos en la innovación curricular por parte de la SED y en el conocimiento y difusión de las innovaciones adelantadas por los propios colegios.</w:t>
      </w:r>
    </w:p>
    <w:p w:rsidR="008E59EC" w:rsidRDefault="00E129E2">
      <w:pPr>
        <w:pStyle w:val="Prrafodelista"/>
        <w:numPr>
          <w:ilvl w:val="0"/>
          <w:numId w:val="9"/>
        </w:numPr>
        <w:jc w:val="both"/>
      </w:pPr>
      <w:r>
        <w:t>Resistencia de</w:t>
      </w:r>
      <w:r w:rsidR="00CE5311" w:rsidRPr="00BA20B4">
        <w:t xml:space="preserve"> directivos docentes y maestros al cambio pedagógico y carencia de espacios para el debate.</w:t>
      </w:r>
    </w:p>
    <w:p w:rsidR="008E59EC" w:rsidRDefault="00CE5311">
      <w:pPr>
        <w:pStyle w:val="Prrafodelista"/>
        <w:numPr>
          <w:ilvl w:val="0"/>
          <w:numId w:val="9"/>
        </w:numPr>
        <w:jc w:val="both"/>
      </w:pPr>
      <w:r w:rsidRPr="00BA20B4">
        <w:t>Restricciones de infraestructura y dotación.</w:t>
      </w:r>
    </w:p>
    <w:p w:rsidR="008E59EC" w:rsidRDefault="00CE5311">
      <w:pPr>
        <w:pStyle w:val="Prrafodelista"/>
        <w:numPr>
          <w:ilvl w:val="0"/>
          <w:numId w:val="9"/>
        </w:numPr>
        <w:jc w:val="both"/>
      </w:pPr>
      <w:r w:rsidRPr="00BA20B4">
        <w:t>Insuficientes maestros formados en nuevos métodos pedagógicos.</w:t>
      </w:r>
    </w:p>
    <w:p w:rsidR="008E59EC" w:rsidRDefault="00CE5311">
      <w:pPr>
        <w:pStyle w:val="Prrafodelista"/>
        <w:numPr>
          <w:ilvl w:val="0"/>
          <w:numId w:val="9"/>
        </w:numPr>
        <w:jc w:val="both"/>
      </w:pPr>
      <w:r w:rsidRPr="00BA20B4">
        <w:t>Limitaciones para introducir métodos pedagógicos activos por el número de estudiantes por maestro.</w:t>
      </w:r>
    </w:p>
    <w:p w:rsidR="00CE5311" w:rsidRDefault="00CE5311" w:rsidP="005A5B0C">
      <w:pPr>
        <w:jc w:val="both"/>
        <w:rPr>
          <w:rFonts w:ascii="Times New Roman" w:hAnsi="Times New Roman"/>
          <w:color w:val="000000"/>
        </w:rPr>
      </w:pPr>
    </w:p>
    <w:tbl>
      <w:tblPr>
        <w:tblStyle w:val="Tablaconcuadrcula"/>
        <w:tblW w:w="0" w:type="auto"/>
        <w:tblLook w:val="00A0" w:firstRow="1" w:lastRow="0" w:firstColumn="1" w:lastColumn="0" w:noHBand="0" w:noVBand="0"/>
      </w:tblPr>
      <w:tblGrid>
        <w:gridCol w:w="8978"/>
      </w:tblGrid>
      <w:tr w:rsidR="004255C7">
        <w:tc>
          <w:tcPr>
            <w:tcW w:w="8978" w:type="dxa"/>
          </w:tcPr>
          <w:p w:rsidR="00C67B65" w:rsidRDefault="00C67B65" w:rsidP="004255C7">
            <w:pPr>
              <w:autoSpaceDE w:val="0"/>
              <w:autoSpaceDN w:val="0"/>
              <w:adjustRightInd w:val="0"/>
              <w:jc w:val="both"/>
              <w:rPr>
                <w:rFonts w:ascii="Times New Roman" w:hAnsi="Times New Roman"/>
              </w:rPr>
            </w:pPr>
            <w:r>
              <w:rPr>
                <w:rFonts w:ascii="Times New Roman" w:hAnsi="Times New Roman"/>
              </w:rPr>
              <w:t xml:space="preserve">El número de estudiantes por </w:t>
            </w:r>
            <w:r w:rsidR="00A23390">
              <w:rPr>
                <w:rFonts w:ascii="Times New Roman" w:hAnsi="Times New Roman"/>
              </w:rPr>
              <w:t>docente</w:t>
            </w:r>
            <w:r>
              <w:rPr>
                <w:rFonts w:ascii="Times New Roman" w:hAnsi="Times New Roman"/>
              </w:rPr>
              <w:t>: limitación para enfoques pedagógicos activos</w:t>
            </w:r>
          </w:p>
          <w:p w:rsidR="00C67B65" w:rsidRDefault="00C67B65" w:rsidP="004255C7">
            <w:pPr>
              <w:autoSpaceDE w:val="0"/>
              <w:autoSpaceDN w:val="0"/>
              <w:adjustRightInd w:val="0"/>
              <w:jc w:val="both"/>
              <w:rPr>
                <w:rFonts w:ascii="Times New Roman" w:hAnsi="Times New Roman"/>
              </w:rPr>
            </w:pPr>
          </w:p>
          <w:p w:rsidR="004255C7" w:rsidRPr="00896F5B" w:rsidRDefault="004255C7" w:rsidP="004255C7">
            <w:pPr>
              <w:autoSpaceDE w:val="0"/>
              <w:autoSpaceDN w:val="0"/>
              <w:adjustRightInd w:val="0"/>
              <w:jc w:val="both"/>
              <w:rPr>
                <w:rFonts w:ascii="Times New Roman" w:hAnsi="Times New Roman"/>
              </w:rPr>
            </w:pPr>
            <w:r w:rsidRPr="00896F5B">
              <w:rPr>
                <w:rFonts w:ascii="Times New Roman" w:hAnsi="Times New Roman"/>
              </w:rPr>
              <w:t xml:space="preserve">En 2008 el indicador del número de </w:t>
            </w:r>
            <w:r w:rsidR="00A23390">
              <w:rPr>
                <w:rFonts w:ascii="Times New Roman" w:hAnsi="Times New Roman"/>
              </w:rPr>
              <w:t>estudiantes</w:t>
            </w:r>
            <w:r w:rsidRPr="00896F5B">
              <w:rPr>
                <w:rFonts w:ascii="Times New Roman" w:hAnsi="Times New Roman"/>
              </w:rPr>
              <w:t xml:space="preserve"> por docente se calculó en 29,5, disminuyendo a 29 en 2011, pero se encuentra por encima del indicador para América Latina cuyo promedio es de 25. En un estudio realizado por el IDEP y la Universidad Nacional de Colombia en 2009, más de la mitad de docentes encuestados (55,3%) tiene</w:t>
            </w:r>
            <w:r w:rsidR="00694DD4">
              <w:rPr>
                <w:rFonts w:ascii="Times New Roman" w:hAnsi="Times New Roman"/>
              </w:rPr>
              <w:t xml:space="preserve"> cinco o más cursos y el 48% le</w:t>
            </w:r>
            <w:r w:rsidRPr="00896F5B">
              <w:rPr>
                <w:rFonts w:ascii="Times New Roman" w:hAnsi="Times New Roman"/>
              </w:rPr>
              <w:t xml:space="preserve"> enseñan a más de 180 estudiantes, mientras que sólo el 26% tienen hasta 38 estudiantes.</w:t>
            </w:r>
            <w:r w:rsidR="000C2BF9">
              <w:rPr>
                <w:rFonts w:ascii="Times New Roman" w:hAnsi="Times New Roman"/>
              </w:rPr>
              <w:t xml:space="preserve"> (Medellín, 2012</w:t>
            </w:r>
            <w:r>
              <w:rPr>
                <w:rFonts w:ascii="Times New Roman" w:hAnsi="Times New Roman"/>
              </w:rPr>
              <w:t>).</w:t>
            </w:r>
          </w:p>
          <w:p w:rsidR="004255C7" w:rsidRDefault="004255C7" w:rsidP="004255C7">
            <w:pPr>
              <w:jc w:val="both"/>
              <w:rPr>
                <w:rFonts w:ascii="Times New Roman" w:hAnsi="Times New Roman"/>
                <w:color w:val="000000"/>
              </w:rPr>
            </w:pPr>
          </w:p>
          <w:tbl>
            <w:tblPr>
              <w:tblW w:w="7261" w:type="dxa"/>
              <w:jc w:val="center"/>
              <w:tblCellMar>
                <w:left w:w="70" w:type="dxa"/>
                <w:right w:w="70" w:type="dxa"/>
              </w:tblCellMar>
              <w:tblLook w:val="04A0" w:firstRow="1" w:lastRow="0" w:firstColumn="1" w:lastColumn="0" w:noHBand="0" w:noVBand="1"/>
            </w:tblPr>
            <w:tblGrid>
              <w:gridCol w:w="4005"/>
              <w:gridCol w:w="814"/>
              <w:gridCol w:w="814"/>
              <w:gridCol w:w="814"/>
              <w:gridCol w:w="814"/>
            </w:tblGrid>
            <w:tr w:rsidR="004255C7" w:rsidRPr="008C392E">
              <w:trPr>
                <w:trHeight w:val="20"/>
                <w:jc w:val="center"/>
              </w:trPr>
              <w:tc>
                <w:tcPr>
                  <w:tcW w:w="7261" w:type="dxa"/>
                  <w:gridSpan w:val="5"/>
                  <w:tcBorders>
                    <w:top w:val="nil"/>
                    <w:left w:val="nil"/>
                    <w:bottom w:val="nil"/>
                    <w:right w:val="nil"/>
                  </w:tcBorders>
                  <w:shd w:val="clear" w:color="000000" w:fill="FFFFFF"/>
                  <w:noWrap/>
                  <w:vAlign w:val="bottom"/>
                </w:tcPr>
                <w:p w:rsidR="004255C7" w:rsidRPr="000A32C6" w:rsidRDefault="004255C7" w:rsidP="001801AC">
                  <w:pPr>
                    <w:pStyle w:val="Epgrafe"/>
                    <w:rPr>
                      <w:rFonts w:cs="Calibri"/>
                      <w:color w:val="000000"/>
                      <w:lang w:eastAsia="es-CO"/>
                    </w:rPr>
                  </w:pPr>
                  <w:r w:rsidRPr="000A32C6">
                    <w:t>Tabla</w:t>
                  </w:r>
                  <w:r w:rsidR="00E8193D">
                    <w:t xml:space="preserve"> 12</w:t>
                  </w:r>
                  <w:r w:rsidR="00EB6F13">
                    <w:t xml:space="preserve">. </w:t>
                  </w:r>
                  <w:r w:rsidRPr="000A32C6">
                    <w:rPr>
                      <w:rFonts w:cs="Calibri"/>
                      <w:color w:val="000000"/>
                      <w:lang w:eastAsia="es-CO"/>
                    </w:rPr>
                    <w:t xml:space="preserve">Relación </w:t>
                  </w:r>
                  <w:r w:rsidR="00A23390">
                    <w:rPr>
                      <w:rFonts w:cs="Calibri"/>
                      <w:color w:val="000000"/>
                      <w:lang w:eastAsia="es-CO"/>
                    </w:rPr>
                    <w:t>Estudiantes</w:t>
                  </w:r>
                  <w:r w:rsidRPr="000A32C6">
                    <w:rPr>
                      <w:rFonts w:cs="Calibri"/>
                      <w:color w:val="000000"/>
                      <w:lang w:eastAsia="es-CO"/>
                    </w:rPr>
                    <w:t xml:space="preserve"> / Docentes en colegios distritales según nivel de escolaridad</w:t>
                  </w:r>
                </w:p>
              </w:tc>
            </w:tr>
            <w:tr w:rsidR="004255C7" w:rsidRPr="008C392E">
              <w:trPr>
                <w:trHeight w:val="20"/>
                <w:jc w:val="center"/>
              </w:trPr>
              <w:tc>
                <w:tcPr>
                  <w:tcW w:w="4005" w:type="dxa"/>
                  <w:tcBorders>
                    <w:top w:val="single" w:sz="4" w:space="0" w:color="auto"/>
                    <w:left w:val="nil"/>
                    <w:bottom w:val="single" w:sz="4" w:space="0" w:color="auto"/>
                    <w:right w:val="single" w:sz="4" w:space="0" w:color="auto"/>
                  </w:tcBorders>
                  <w:shd w:val="clear" w:color="000000" w:fill="D8D8D8"/>
                  <w:noWrap/>
                  <w:vAlign w:val="bottom"/>
                </w:tcPr>
                <w:p w:rsidR="004255C7" w:rsidRPr="008C392E" w:rsidRDefault="004255C7" w:rsidP="004F01E6">
                  <w:pPr>
                    <w:rPr>
                      <w:rFonts w:eastAsia="Times New Roman" w:cs="Calibri"/>
                      <w:color w:val="000000"/>
                      <w:sz w:val="18"/>
                      <w:szCs w:val="18"/>
                      <w:lang w:eastAsia="es-CO"/>
                    </w:rPr>
                  </w:pPr>
                  <w:r w:rsidRPr="008C392E">
                    <w:rPr>
                      <w:rFonts w:eastAsia="Times New Roman" w:cs="Calibri"/>
                      <w:color w:val="000000"/>
                      <w:sz w:val="18"/>
                      <w:szCs w:val="18"/>
                      <w:lang w:eastAsia="es-CO"/>
                    </w:rPr>
                    <w:t>Nivel escolar</w:t>
                  </w:r>
                </w:p>
              </w:tc>
              <w:tc>
                <w:tcPr>
                  <w:tcW w:w="814" w:type="dxa"/>
                  <w:tcBorders>
                    <w:top w:val="single" w:sz="4" w:space="0" w:color="auto"/>
                    <w:left w:val="nil"/>
                    <w:bottom w:val="single" w:sz="4" w:space="0" w:color="auto"/>
                    <w:right w:val="single" w:sz="4" w:space="0" w:color="auto"/>
                  </w:tcBorders>
                  <w:shd w:val="clear" w:color="000000" w:fill="D8D8D8"/>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2008</w:t>
                  </w:r>
                </w:p>
              </w:tc>
              <w:tc>
                <w:tcPr>
                  <w:tcW w:w="814" w:type="dxa"/>
                  <w:tcBorders>
                    <w:top w:val="single" w:sz="4" w:space="0" w:color="auto"/>
                    <w:left w:val="nil"/>
                    <w:bottom w:val="single" w:sz="4" w:space="0" w:color="auto"/>
                    <w:right w:val="single" w:sz="4" w:space="0" w:color="auto"/>
                  </w:tcBorders>
                  <w:shd w:val="clear" w:color="000000" w:fill="D8D8D8"/>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2009</w:t>
                  </w:r>
                </w:p>
              </w:tc>
              <w:tc>
                <w:tcPr>
                  <w:tcW w:w="814" w:type="dxa"/>
                  <w:tcBorders>
                    <w:top w:val="single" w:sz="4" w:space="0" w:color="auto"/>
                    <w:left w:val="nil"/>
                    <w:bottom w:val="single" w:sz="4" w:space="0" w:color="auto"/>
                    <w:right w:val="single" w:sz="4" w:space="0" w:color="auto"/>
                  </w:tcBorders>
                  <w:shd w:val="clear" w:color="000000" w:fill="D8D8D8"/>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2010</w:t>
                  </w:r>
                </w:p>
              </w:tc>
              <w:tc>
                <w:tcPr>
                  <w:tcW w:w="814" w:type="dxa"/>
                  <w:tcBorders>
                    <w:top w:val="single" w:sz="4" w:space="0" w:color="auto"/>
                    <w:left w:val="nil"/>
                    <w:bottom w:val="single" w:sz="4" w:space="0" w:color="auto"/>
                    <w:right w:val="nil"/>
                  </w:tcBorders>
                  <w:shd w:val="clear" w:color="000000" w:fill="D8D8D8"/>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2011</w:t>
                  </w:r>
                </w:p>
              </w:tc>
            </w:tr>
            <w:tr w:rsidR="004255C7" w:rsidRPr="008C392E">
              <w:trPr>
                <w:trHeight w:val="20"/>
                <w:jc w:val="center"/>
              </w:trPr>
              <w:tc>
                <w:tcPr>
                  <w:tcW w:w="4005" w:type="dxa"/>
                  <w:tcBorders>
                    <w:top w:val="nil"/>
                    <w:left w:val="nil"/>
                    <w:bottom w:val="nil"/>
                    <w:right w:val="single" w:sz="4" w:space="0" w:color="auto"/>
                  </w:tcBorders>
                  <w:shd w:val="clear" w:color="000000" w:fill="FFFFFF"/>
                  <w:noWrap/>
                  <w:vAlign w:val="bottom"/>
                </w:tcPr>
                <w:p w:rsidR="004255C7" w:rsidRPr="008C392E" w:rsidRDefault="004255C7" w:rsidP="004F01E6">
                  <w:pPr>
                    <w:rPr>
                      <w:rFonts w:eastAsia="Times New Roman" w:cs="Calibri"/>
                      <w:color w:val="000000"/>
                      <w:sz w:val="18"/>
                      <w:szCs w:val="18"/>
                      <w:lang w:eastAsia="es-CO"/>
                    </w:rPr>
                  </w:pPr>
                  <w:r w:rsidRPr="008C392E">
                    <w:rPr>
                      <w:rFonts w:eastAsia="Times New Roman" w:cs="Calibri"/>
                      <w:color w:val="000000"/>
                      <w:sz w:val="18"/>
                      <w:szCs w:val="18"/>
                      <w:lang w:eastAsia="es-CO"/>
                    </w:rPr>
                    <w:lastRenderedPageBreak/>
                    <w:t>Pre-escolar</w:t>
                  </w:r>
                </w:p>
              </w:tc>
              <w:tc>
                <w:tcPr>
                  <w:tcW w:w="814" w:type="dxa"/>
                  <w:tcBorders>
                    <w:top w:val="nil"/>
                    <w:left w:val="nil"/>
                    <w:bottom w:val="nil"/>
                    <w:right w:val="single" w:sz="4" w:space="0" w:color="auto"/>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26,8</w:t>
                  </w:r>
                </w:p>
              </w:tc>
              <w:tc>
                <w:tcPr>
                  <w:tcW w:w="814" w:type="dxa"/>
                  <w:tcBorders>
                    <w:top w:val="nil"/>
                    <w:left w:val="nil"/>
                    <w:bottom w:val="nil"/>
                    <w:right w:val="single" w:sz="4" w:space="0" w:color="auto"/>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26,5</w:t>
                  </w:r>
                </w:p>
              </w:tc>
              <w:tc>
                <w:tcPr>
                  <w:tcW w:w="814" w:type="dxa"/>
                  <w:tcBorders>
                    <w:top w:val="nil"/>
                    <w:left w:val="nil"/>
                    <w:bottom w:val="nil"/>
                    <w:right w:val="single" w:sz="4" w:space="0" w:color="auto"/>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27,0</w:t>
                  </w:r>
                </w:p>
              </w:tc>
              <w:tc>
                <w:tcPr>
                  <w:tcW w:w="814" w:type="dxa"/>
                  <w:tcBorders>
                    <w:top w:val="nil"/>
                    <w:left w:val="nil"/>
                    <w:bottom w:val="nil"/>
                    <w:right w:val="nil"/>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26,1</w:t>
                  </w:r>
                </w:p>
              </w:tc>
            </w:tr>
            <w:tr w:rsidR="004255C7" w:rsidRPr="008C392E">
              <w:trPr>
                <w:trHeight w:val="20"/>
                <w:jc w:val="center"/>
              </w:trPr>
              <w:tc>
                <w:tcPr>
                  <w:tcW w:w="4005" w:type="dxa"/>
                  <w:tcBorders>
                    <w:top w:val="nil"/>
                    <w:left w:val="nil"/>
                    <w:bottom w:val="nil"/>
                    <w:right w:val="single" w:sz="4" w:space="0" w:color="auto"/>
                  </w:tcBorders>
                  <w:shd w:val="clear" w:color="000000" w:fill="FFFFFF"/>
                  <w:noWrap/>
                  <w:vAlign w:val="bottom"/>
                </w:tcPr>
                <w:p w:rsidR="004255C7" w:rsidRPr="008C392E" w:rsidRDefault="004255C7" w:rsidP="004F01E6">
                  <w:pPr>
                    <w:rPr>
                      <w:rFonts w:eastAsia="Times New Roman" w:cs="Calibri"/>
                      <w:color w:val="000000"/>
                      <w:sz w:val="18"/>
                      <w:szCs w:val="18"/>
                      <w:lang w:eastAsia="es-CO"/>
                    </w:rPr>
                  </w:pPr>
                  <w:r w:rsidRPr="008C392E">
                    <w:rPr>
                      <w:rFonts w:eastAsia="Times New Roman" w:cs="Calibri"/>
                      <w:color w:val="000000"/>
                      <w:sz w:val="18"/>
                      <w:szCs w:val="18"/>
                      <w:lang w:eastAsia="es-CO"/>
                    </w:rPr>
                    <w:t>Primaria</w:t>
                  </w:r>
                </w:p>
              </w:tc>
              <w:tc>
                <w:tcPr>
                  <w:tcW w:w="814" w:type="dxa"/>
                  <w:tcBorders>
                    <w:top w:val="nil"/>
                    <w:left w:val="nil"/>
                    <w:bottom w:val="nil"/>
                    <w:right w:val="single" w:sz="4" w:space="0" w:color="auto"/>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31,7</w:t>
                  </w:r>
                </w:p>
              </w:tc>
              <w:tc>
                <w:tcPr>
                  <w:tcW w:w="814" w:type="dxa"/>
                  <w:tcBorders>
                    <w:top w:val="nil"/>
                    <w:left w:val="nil"/>
                    <w:bottom w:val="nil"/>
                    <w:right w:val="single" w:sz="4" w:space="0" w:color="auto"/>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31,9</w:t>
                  </w:r>
                </w:p>
              </w:tc>
              <w:tc>
                <w:tcPr>
                  <w:tcW w:w="814" w:type="dxa"/>
                  <w:tcBorders>
                    <w:top w:val="nil"/>
                    <w:left w:val="nil"/>
                    <w:bottom w:val="nil"/>
                    <w:right w:val="single" w:sz="4" w:space="0" w:color="auto"/>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32,0</w:t>
                  </w:r>
                </w:p>
              </w:tc>
              <w:tc>
                <w:tcPr>
                  <w:tcW w:w="814" w:type="dxa"/>
                  <w:tcBorders>
                    <w:top w:val="nil"/>
                    <w:left w:val="nil"/>
                    <w:bottom w:val="nil"/>
                    <w:right w:val="nil"/>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31,0</w:t>
                  </w:r>
                </w:p>
              </w:tc>
            </w:tr>
            <w:tr w:rsidR="004255C7" w:rsidRPr="008C392E">
              <w:trPr>
                <w:trHeight w:val="20"/>
                <w:jc w:val="center"/>
              </w:trPr>
              <w:tc>
                <w:tcPr>
                  <w:tcW w:w="4005" w:type="dxa"/>
                  <w:tcBorders>
                    <w:top w:val="nil"/>
                    <w:left w:val="nil"/>
                    <w:bottom w:val="nil"/>
                    <w:right w:val="single" w:sz="4" w:space="0" w:color="auto"/>
                  </w:tcBorders>
                  <w:shd w:val="clear" w:color="000000" w:fill="FFFFFF"/>
                  <w:noWrap/>
                  <w:vAlign w:val="bottom"/>
                </w:tcPr>
                <w:p w:rsidR="004255C7" w:rsidRPr="008C392E" w:rsidRDefault="004255C7" w:rsidP="004F01E6">
                  <w:pPr>
                    <w:rPr>
                      <w:rFonts w:eastAsia="Times New Roman" w:cs="Calibri"/>
                      <w:color w:val="000000"/>
                      <w:sz w:val="18"/>
                      <w:szCs w:val="18"/>
                      <w:lang w:eastAsia="es-CO"/>
                    </w:rPr>
                  </w:pPr>
                  <w:r w:rsidRPr="008C392E">
                    <w:rPr>
                      <w:rFonts w:eastAsia="Times New Roman" w:cs="Calibri"/>
                      <w:color w:val="000000"/>
                      <w:sz w:val="18"/>
                      <w:szCs w:val="18"/>
                      <w:lang w:eastAsia="es-CO"/>
                    </w:rPr>
                    <w:t>Básica secundaria y media</w:t>
                  </w:r>
                </w:p>
              </w:tc>
              <w:tc>
                <w:tcPr>
                  <w:tcW w:w="814" w:type="dxa"/>
                  <w:tcBorders>
                    <w:top w:val="nil"/>
                    <w:left w:val="nil"/>
                    <w:bottom w:val="nil"/>
                    <w:right w:val="single" w:sz="4" w:space="0" w:color="auto"/>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28,2</w:t>
                  </w:r>
                </w:p>
              </w:tc>
              <w:tc>
                <w:tcPr>
                  <w:tcW w:w="814" w:type="dxa"/>
                  <w:tcBorders>
                    <w:top w:val="nil"/>
                    <w:left w:val="nil"/>
                    <w:bottom w:val="nil"/>
                    <w:right w:val="single" w:sz="4" w:space="0" w:color="auto"/>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28,4</w:t>
                  </w:r>
                </w:p>
              </w:tc>
              <w:tc>
                <w:tcPr>
                  <w:tcW w:w="814" w:type="dxa"/>
                  <w:tcBorders>
                    <w:top w:val="nil"/>
                    <w:left w:val="nil"/>
                    <w:bottom w:val="nil"/>
                    <w:right w:val="single" w:sz="4" w:space="0" w:color="auto"/>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29,1</w:t>
                  </w:r>
                </w:p>
              </w:tc>
              <w:tc>
                <w:tcPr>
                  <w:tcW w:w="814" w:type="dxa"/>
                  <w:tcBorders>
                    <w:top w:val="nil"/>
                    <w:left w:val="nil"/>
                    <w:bottom w:val="nil"/>
                    <w:right w:val="nil"/>
                  </w:tcBorders>
                  <w:shd w:val="clear" w:color="000000" w:fill="FFFFFF"/>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28,0</w:t>
                  </w:r>
                </w:p>
              </w:tc>
            </w:tr>
            <w:tr w:rsidR="004255C7" w:rsidRPr="008C392E">
              <w:trPr>
                <w:trHeight w:val="20"/>
                <w:jc w:val="center"/>
              </w:trPr>
              <w:tc>
                <w:tcPr>
                  <w:tcW w:w="4005" w:type="dxa"/>
                  <w:tcBorders>
                    <w:top w:val="single" w:sz="4" w:space="0" w:color="auto"/>
                    <w:left w:val="nil"/>
                    <w:bottom w:val="single" w:sz="4" w:space="0" w:color="auto"/>
                    <w:right w:val="single" w:sz="4" w:space="0" w:color="auto"/>
                  </w:tcBorders>
                  <w:shd w:val="clear" w:color="000000" w:fill="D8D8D8"/>
                  <w:noWrap/>
                  <w:vAlign w:val="bottom"/>
                </w:tcPr>
                <w:p w:rsidR="004255C7" w:rsidRPr="008C392E" w:rsidRDefault="004255C7" w:rsidP="004F01E6">
                  <w:pPr>
                    <w:rPr>
                      <w:rFonts w:eastAsia="Times New Roman" w:cs="Calibri"/>
                      <w:color w:val="000000"/>
                      <w:sz w:val="18"/>
                      <w:szCs w:val="18"/>
                      <w:lang w:eastAsia="es-CO"/>
                    </w:rPr>
                  </w:pPr>
                  <w:r w:rsidRPr="008C392E">
                    <w:rPr>
                      <w:rFonts w:eastAsia="Times New Roman" w:cs="Calibri"/>
                      <w:color w:val="000000"/>
                      <w:sz w:val="18"/>
                      <w:szCs w:val="18"/>
                      <w:lang w:eastAsia="es-CO"/>
                    </w:rPr>
                    <w:t>Total</w:t>
                  </w:r>
                </w:p>
              </w:tc>
              <w:tc>
                <w:tcPr>
                  <w:tcW w:w="814" w:type="dxa"/>
                  <w:tcBorders>
                    <w:top w:val="single" w:sz="4" w:space="0" w:color="auto"/>
                    <w:left w:val="nil"/>
                    <w:bottom w:val="single" w:sz="4" w:space="0" w:color="auto"/>
                    <w:right w:val="single" w:sz="4" w:space="0" w:color="auto"/>
                  </w:tcBorders>
                  <w:shd w:val="clear" w:color="000000" w:fill="D8D8D8"/>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29,5</w:t>
                  </w:r>
                </w:p>
              </w:tc>
              <w:tc>
                <w:tcPr>
                  <w:tcW w:w="814" w:type="dxa"/>
                  <w:tcBorders>
                    <w:top w:val="single" w:sz="4" w:space="0" w:color="auto"/>
                    <w:left w:val="nil"/>
                    <w:bottom w:val="single" w:sz="4" w:space="0" w:color="auto"/>
                    <w:right w:val="single" w:sz="4" w:space="0" w:color="auto"/>
                  </w:tcBorders>
                  <w:shd w:val="clear" w:color="000000" w:fill="D8D8D8"/>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29,6</w:t>
                  </w:r>
                </w:p>
              </w:tc>
              <w:tc>
                <w:tcPr>
                  <w:tcW w:w="814" w:type="dxa"/>
                  <w:tcBorders>
                    <w:top w:val="single" w:sz="4" w:space="0" w:color="auto"/>
                    <w:left w:val="nil"/>
                    <w:bottom w:val="single" w:sz="4" w:space="0" w:color="auto"/>
                    <w:right w:val="single" w:sz="4" w:space="0" w:color="auto"/>
                  </w:tcBorders>
                  <w:shd w:val="clear" w:color="000000" w:fill="D8D8D8"/>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30,1</w:t>
                  </w:r>
                </w:p>
              </w:tc>
              <w:tc>
                <w:tcPr>
                  <w:tcW w:w="814" w:type="dxa"/>
                  <w:tcBorders>
                    <w:top w:val="single" w:sz="4" w:space="0" w:color="auto"/>
                    <w:left w:val="nil"/>
                    <w:bottom w:val="single" w:sz="4" w:space="0" w:color="auto"/>
                    <w:right w:val="nil"/>
                  </w:tcBorders>
                  <w:shd w:val="clear" w:color="000000" w:fill="D8D8D8"/>
                  <w:noWrap/>
                  <w:vAlign w:val="bottom"/>
                </w:tcPr>
                <w:p w:rsidR="004255C7" w:rsidRPr="008C392E" w:rsidRDefault="004255C7" w:rsidP="004F01E6">
                  <w:pPr>
                    <w:jc w:val="right"/>
                    <w:rPr>
                      <w:rFonts w:eastAsia="Times New Roman" w:cs="Calibri"/>
                      <w:color w:val="000000"/>
                      <w:sz w:val="18"/>
                      <w:szCs w:val="18"/>
                      <w:lang w:eastAsia="es-CO"/>
                    </w:rPr>
                  </w:pPr>
                  <w:r w:rsidRPr="008C392E">
                    <w:rPr>
                      <w:rFonts w:eastAsia="Times New Roman" w:cs="Calibri"/>
                      <w:color w:val="000000"/>
                      <w:sz w:val="18"/>
                      <w:szCs w:val="18"/>
                      <w:lang w:eastAsia="es-CO"/>
                    </w:rPr>
                    <w:t>29,0</w:t>
                  </w:r>
                </w:p>
              </w:tc>
            </w:tr>
            <w:tr w:rsidR="004255C7" w:rsidRPr="008C392E">
              <w:trPr>
                <w:trHeight w:val="20"/>
                <w:jc w:val="center"/>
              </w:trPr>
              <w:tc>
                <w:tcPr>
                  <w:tcW w:w="5633" w:type="dxa"/>
                  <w:gridSpan w:val="3"/>
                  <w:tcBorders>
                    <w:top w:val="nil"/>
                    <w:left w:val="nil"/>
                    <w:bottom w:val="nil"/>
                    <w:right w:val="nil"/>
                  </w:tcBorders>
                  <w:shd w:val="clear" w:color="000000" w:fill="FFFFFF"/>
                  <w:noWrap/>
                  <w:vAlign w:val="bottom"/>
                </w:tcPr>
                <w:p w:rsidR="004255C7" w:rsidRPr="008C392E" w:rsidRDefault="004255C7" w:rsidP="004F01E6">
                  <w:pPr>
                    <w:rPr>
                      <w:rFonts w:eastAsia="Times New Roman" w:cs="Calibri"/>
                      <w:color w:val="000000"/>
                      <w:sz w:val="16"/>
                      <w:szCs w:val="16"/>
                      <w:lang w:eastAsia="es-CO"/>
                    </w:rPr>
                  </w:pPr>
                  <w:r w:rsidRPr="008C392E">
                    <w:rPr>
                      <w:rFonts w:eastAsia="Times New Roman" w:cs="Calibri"/>
                      <w:color w:val="000000"/>
                      <w:sz w:val="16"/>
                      <w:szCs w:val="16"/>
                      <w:lang w:eastAsia="es-CO"/>
                    </w:rPr>
                    <w:t>Fuente: SED. Caracterización sector educativo. Año 2011</w:t>
                  </w:r>
                </w:p>
              </w:tc>
              <w:tc>
                <w:tcPr>
                  <w:tcW w:w="814" w:type="dxa"/>
                  <w:tcBorders>
                    <w:top w:val="nil"/>
                    <w:left w:val="nil"/>
                    <w:bottom w:val="nil"/>
                    <w:right w:val="nil"/>
                  </w:tcBorders>
                  <w:shd w:val="clear" w:color="000000" w:fill="FFFFFF"/>
                  <w:noWrap/>
                  <w:vAlign w:val="bottom"/>
                </w:tcPr>
                <w:p w:rsidR="004255C7" w:rsidRPr="008C392E" w:rsidRDefault="004255C7" w:rsidP="004F01E6">
                  <w:pPr>
                    <w:rPr>
                      <w:rFonts w:eastAsia="Times New Roman" w:cs="Calibri"/>
                      <w:color w:val="000000"/>
                      <w:lang w:eastAsia="es-CO"/>
                    </w:rPr>
                  </w:pPr>
                  <w:r w:rsidRPr="008C392E">
                    <w:rPr>
                      <w:rFonts w:eastAsia="Times New Roman" w:cs="Calibri"/>
                      <w:color w:val="000000"/>
                      <w:lang w:eastAsia="es-CO"/>
                    </w:rPr>
                    <w:t> </w:t>
                  </w:r>
                </w:p>
              </w:tc>
              <w:tc>
                <w:tcPr>
                  <w:tcW w:w="814" w:type="dxa"/>
                  <w:tcBorders>
                    <w:top w:val="nil"/>
                    <w:left w:val="nil"/>
                    <w:bottom w:val="nil"/>
                    <w:right w:val="nil"/>
                  </w:tcBorders>
                  <w:shd w:val="clear" w:color="000000" w:fill="FFFFFF"/>
                  <w:noWrap/>
                  <w:vAlign w:val="bottom"/>
                </w:tcPr>
                <w:p w:rsidR="004255C7" w:rsidRPr="008C392E" w:rsidRDefault="004255C7" w:rsidP="004F01E6">
                  <w:pPr>
                    <w:rPr>
                      <w:rFonts w:eastAsia="Times New Roman" w:cs="Calibri"/>
                      <w:color w:val="000000"/>
                      <w:lang w:eastAsia="es-CO"/>
                    </w:rPr>
                  </w:pPr>
                  <w:r w:rsidRPr="008C392E">
                    <w:rPr>
                      <w:rFonts w:eastAsia="Times New Roman" w:cs="Calibri"/>
                      <w:color w:val="000000"/>
                      <w:lang w:eastAsia="es-CO"/>
                    </w:rPr>
                    <w:t> </w:t>
                  </w:r>
                </w:p>
              </w:tc>
            </w:tr>
          </w:tbl>
          <w:p w:rsidR="004255C7" w:rsidRDefault="004255C7" w:rsidP="004255C7">
            <w:pPr>
              <w:jc w:val="both"/>
              <w:rPr>
                <w:rFonts w:ascii="Times New Roman" w:hAnsi="Times New Roman"/>
                <w:color w:val="000000"/>
              </w:rPr>
            </w:pPr>
          </w:p>
          <w:tbl>
            <w:tblPr>
              <w:tblW w:w="5290" w:type="dxa"/>
              <w:jc w:val="center"/>
              <w:tblCellMar>
                <w:left w:w="70" w:type="dxa"/>
                <w:right w:w="70" w:type="dxa"/>
              </w:tblCellMar>
              <w:tblLook w:val="04A0" w:firstRow="1" w:lastRow="0" w:firstColumn="1" w:lastColumn="0" w:noHBand="0" w:noVBand="1"/>
            </w:tblPr>
            <w:tblGrid>
              <w:gridCol w:w="2254"/>
              <w:gridCol w:w="806"/>
              <w:gridCol w:w="1099"/>
              <w:gridCol w:w="1131"/>
            </w:tblGrid>
            <w:tr w:rsidR="004255C7" w:rsidRPr="007D689E">
              <w:trPr>
                <w:trHeight w:val="20"/>
                <w:jc w:val="center"/>
              </w:trPr>
              <w:tc>
                <w:tcPr>
                  <w:tcW w:w="5290" w:type="dxa"/>
                  <w:gridSpan w:val="4"/>
                  <w:tcBorders>
                    <w:top w:val="nil"/>
                    <w:left w:val="nil"/>
                    <w:bottom w:val="nil"/>
                    <w:right w:val="nil"/>
                  </w:tcBorders>
                  <w:shd w:val="clear" w:color="000000" w:fill="FFFFFF"/>
                  <w:noWrap/>
                  <w:vAlign w:val="bottom"/>
                </w:tcPr>
                <w:p w:rsidR="004255C7" w:rsidRPr="000A32C6" w:rsidRDefault="004255C7" w:rsidP="001801AC">
                  <w:pPr>
                    <w:pStyle w:val="Epgrafe"/>
                    <w:rPr>
                      <w:bCs w:val="0"/>
                      <w:color w:val="000000"/>
                      <w:lang w:eastAsia="es-CO"/>
                    </w:rPr>
                  </w:pPr>
                  <w:r w:rsidRPr="000A32C6">
                    <w:t>Tabla</w:t>
                  </w:r>
                  <w:r w:rsidR="00E8193D">
                    <w:t xml:space="preserve"> 13</w:t>
                  </w:r>
                  <w:r w:rsidR="00EB6F13">
                    <w:t xml:space="preserve">. </w:t>
                  </w:r>
                  <w:r w:rsidRPr="000A32C6">
                    <w:rPr>
                      <w:bCs w:val="0"/>
                      <w:color w:val="000000"/>
                      <w:lang w:eastAsia="es-CO"/>
                    </w:rPr>
                    <w:t>Personal docente por nivel educativo y sector. Bogotá. 2011</w:t>
                  </w:r>
                </w:p>
              </w:tc>
            </w:tr>
            <w:tr w:rsidR="004255C7" w:rsidRPr="007D689E">
              <w:trPr>
                <w:trHeight w:val="20"/>
                <w:jc w:val="center"/>
              </w:trPr>
              <w:tc>
                <w:tcPr>
                  <w:tcW w:w="2254" w:type="dxa"/>
                  <w:tcBorders>
                    <w:top w:val="single" w:sz="4" w:space="0" w:color="auto"/>
                    <w:left w:val="nil"/>
                    <w:bottom w:val="single" w:sz="4" w:space="0" w:color="auto"/>
                    <w:right w:val="single" w:sz="4" w:space="0" w:color="auto"/>
                  </w:tcBorders>
                  <w:shd w:val="clear" w:color="000000" w:fill="A5A5A5"/>
                  <w:noWrap/>
                  <w:vAlign w:val="bottom"/>
                </w:tcPr>
                <w:p w:rsidR="004255C7" w:rsidRPr="007D689E" w:rsidRDefault="004255C7" w:rsidP="004F01E6">
                  <w:pPr>
                    <w:rPr>
                      <w:rFonts w:eastAsia="Times New Roman"/>
                      <w:color w:val="000000"/>
                      <w:sz w:val="18"/>
                      <w:szCs w:val="18"/>
                      <w:lang w:eastAsia="es-CO"/>
                    </w:rPr>
                  </w:pPr>
                  <w:r w:rsidRPr="007D689E">
                    <w:rPr>
                      <w:rFonts w:eastAsia="Times New Roman"/>
                      <w:color w:val="000000"/>
                      <w:sz w:val="18"/>
                      <w:szCs w:val="18"/>
                      <w:lang w:eastAsia="es-CO"/>
                    </w:rPr>
                    <w:t>Nivel educativo</w:t>
                  </w:r>
                </w:p>
              </w:tc>
              <w:tc>
                <w:tcPr>
                  <w:tcW w:w="806" w:type="dxa"/>
                  <w:tcBorders>
                    <w:top w:val="single" w:sz="4" w:space="0" w:color="auto"/>
                    <w:left w:val="nil"/>
                    <w:bottom w:val="single" w:sz="4" w:space="0" w:color="auto"/>
                    <w:right w:val="single" w:sz="4" w:space="0" w:color="auto"/>
                  </w:tcBorders>
                  <w:shd w:val="clear" w:color="000000" w:fill="A5A5A5"/>
                  <w:noWrap/>
                  <w:vAlign w:val="bottom"/>
                </w:tcPr>
                <w:p w:rsidR="004255C7" w:rsidRPr="007D689E" w:rsidRDefault="004255C7" w:rsidP="004F01E6">
                  <w:pPr>
                    <w:jc w:val="center"/>
                    <w:rPr>
                      <w:rFonts w:eastAsia="Times New Roman"/>
                      <w:color w:val="000000"/>
                      <w:sz w:val="18"/>
                      <w:szCs w:val="18"/>
                      <w:lang w:eastAsia="es-CO"/>
                    </w:rPr>
                  </w:pPr>
                  <w:r w:rsidRPr="007D689E">
                    <w:rPr>
                      <w:rFonts w:eastAsia="Times New Roman"/>
                      <w:color w:val="000000"/>
                      <w:sz w:val="18"/>
                      <w:szCs w:val="18"/>
                      <w:lang w:eastAsia="es-CO"/>
                    </w:rPr>
                    <w:t>Oficial</w:t>
                  </w:r>
                </w:p>
              </w:tc>
              <w:tc>
                <w:tcPr>
                  <w:tcW w:w="1099" w:type="dxa"/>
                  <w:tcBorders>
                    <w:top w:val="single" w:sz="4" w:space="0" w:color="auto"/>
                    <w:left w:val="nil"/>
                    <w:bottom w:val="single" w:sz="4" w:space="0" w:color="auto"/>
                    <w:right w:val="single" w:sz="4" w:space="0" w:color="auto"/>
                  </w:tcBorders>
                  <w:shd w:val="clear" w:color="000000" w:fill="A5A5A5"/>
                  <w:noWrap/>
                  <w:vAlign w:val="bottom"/>
                </w:tcPr>
                <w:p w:rsidR="004255C7" w:rsidRPr="007D689E" w:rsidRDefault="004255C7" w:rsidP="004F01E6">
                  <w:pPr>
                    <w:jc w:val="center"/>
                    <w:rPr>
                      <w:rFonts w:eastAsia="Times New Roman"/>
                      <w:color w:val="000000"/>
                      <w:sz w:val="18"/>
                      <w:szCs w:val="18"/>
                      <w:lang w:eastAsia="es-CO"/>
                    </w:rPr>
                  </w:pPr>
                  <w:r w:rsidRPr="007D689E">
                    <w:rPr>
                      <w:rFonts w:eastAsia="Times New Roman"/>
                      <w:color w:val="000000"/>
                      <w:sz w:val="18"/>
                      <w:szCs w:val="18"/>
                      <w:lang w:eastAsia="es-CO"/>
                    </w:rPr>
                    <w:t>No oficial</w:t>
                  </w:r>
                </w:p>
              </w:tc>
              <w:tc>
                <w:tcPr>
                  <w:tcW w:w="1131" w:type="dxa"/>
                  <w:tcBorders>
                    <w:top w:val="single" w:sz="4" w:space="0" w:color="auto"/>
                    <w:left w:val="nil"/>
                    <w:bottom w:val="single" w:sz="4" w:space="0" w:color="auto"/>
                    <w:right w:val="nil"/>
                  </w:tcBorders>
                  <w:shd w:val="clear" w:color="000000" w:fill="A5A5A5"/>
                  <w:noWrap/>
                  <w:vAlign w:val="bottom"/>
                </w:tcPr>
                <w:p w:rsidR="004255C7" w:rsidRPr="007D689E" w:rsidRDefault="004255C7" w:rsidP="004F01E6">
                  <w:pPr>
                    <w:jc w:val="center"/>
                    <w:rPr>
                      <w:rFonts w:eastAsia="Times New Roman"/>
                      <w:color w:val="000000"/>
                      <w:sz w:val="18"/>
                      <w:szCs w:val="18"/>
                      <w:lang w:eastAsia="es-CO"/>
                    </w:rPr>
                  </w:pPr>
                  <w:r w:rsidRPr="007D689E">
                    <w:rPr>
                      <w:rFonts w:eastAsia="Times New Roman"/>
                      <w:color w:val="000000"/>
                      <w:sz w:val="18"/>
                      <w:szCs w:val="18"/>
                      <w:lang w:eastAsia="es-CO"/>
                    </w:rPr>
                    <w:t>Total</w:t>
                  </w:r>
                </w:p>
              </w:tc>
            </w:tr>
            <w:tr w:rsidR="004255C7" w:rsidRPr="007D689E">
              <w:trPr>
                <w:trHeight w:val="20"/>
                <w:jc w:val="center"/>
              </w:trPr>
              <w:tc>
                <w:tcPr>
                  <w:tcW w:w="2254" w:type="dxa"/>
                  <w:tcBorders>
                    <w:top w:val="nil"/>
                    <w:left w:val="nil"/>
                    <w:bottom w:val="nil"/>
                    <w:right w:val="single" w:sz="4" w:space="0" w:color="auto"/>
                  </w:tcBorders>
                  <w:shd w:val="clear" w:color="000000" w:fill="FFFFFF"/>
                  <w:noWrap/>
                  <w:vAlign w:val="bottom"/>
                </w:tcPr>
                <w:p w:rsidR="004255C7" w:rsidRPr="007D689E" w:rsidRDefault="004255C7" w:rsidP="004F01E6">
                  <w:pPr>
                    <w:rPr>
                      <w:rFonts w:eastAsia="Times New Roman"/>
                      <w:color w:val="000000"/>
                      <w:sz w:val="18"/>
                      <w:szCs w:val="18"/>
                      <w:lang w:eastAsia="es-CO"/>
                    </w:rPr>
                  </w:pPr>
                  <w:r w:rsidRPr="007D689E">
                    <w:rPr>
                      <w:rFonts w:eastAsia="Times New Roman"/>
                      <w:color w:val="000000"/>
                      <w:sz w:val="18"/>
                      <w:szCs w:val="18"/>
                      <w:lang w:eastAsia="es-CO"/>
                    </w:rPr>
                    <w:t>Preescolar</w:t>
                  </w:r>
                </w:p>
              </w:tc>
              <w:tc>
                <w:tcPr>
                  <w:tcW w:w="806" w:type="dxa"/>
                  <w:tcBorders>
                    <w:top w:val="nil"/>
                    <w:left w:val="nil"/>
                    <w:bottom w:val="nil"/>
                    <w:right w:val="single" w:sz="4" w:space="0" w:color="auto"/>
                  </w:tcBorders>
                  <w:shd w:val="clear" w:color="000000" w:fill="FFFFFF"/>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2.532</w:t>
                  </w:r>
                </w:p>
              </w:tc>
              <w:tc>
                <w:tcPr>
                  <w:tcW w:w="1099" w:type="dxa"/>
                  <w:tcBorders>
                    <w:top w:val="nil"/>
                    <w:left w:val="nil"/>
                    <w:bottom w:val="nil"/>
                    <w:right w:val="single" w:sz="4" w:space="0" w:color="auto"/>
                  </w:tcBorders>
                  <w:shd w:val="clear" w:color="000000" w:fill="FFFFFF"/>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6.980</w:t>
                  </w:r>
                </w:p>
              </w:tc>
              <w:tc>
                <w:tcPr>
                  <w:tcW w:w="1131" w:type="dxa"/>
                  <w:tcBorders>
                    <w:top w:val="nil"/>
                    <w:left w:val="nil"/>
                    <w:bottom w:val="nil"/>
                    <w:right w:val="nil"/>
                  </w:tcBorders>
                  <w:shd w:val="clear" w:color="000000" w:fill="FFFFFF"/>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9.512</w:t>
                  </w:r>
                </w:p>
              </w:tc>
            </w:tr>
            <w:tr w:rsidR="004255C7" w:rsidRPr="007D689E">
              <w:trPr>
                <w:trHeight w:val="20"/>
                <w:jc w:val="center"/>
              </w:trPr>
              <w:tc>
                <w:tcPr>
                  <w:tcW w:w="2254" w:type="dxa"/>
                  <w:tcBorders>
                    <w:top w:val="nil"/>
                    <w:left w:val="nil"/>
                    <w:bottom w:val="nil"/>
                    <w:right w:val="single" w:sz="4" w:space="0" w:color="auto"/>
                  </w:tcBorders>
                  <w:shd w:val="clear" w:color="000000" w:fill="F2F2F2"/>
                  <w:noWrap/>
                  <w:vAlign w:val="bottom"/>
                </w:tcPr>
                <w:p w:rsidR="004255C7" w:rsidRPr="007D689E" w:rsidRDefault="004255C7" w:rsidP="004F01E6">
                  <w:pPr>
                    <w:rPr>
                      <w:rFonts w:eastAsia="Times New Roman"/>
                      <w:color w:val="000000"/>
                      <w:sz w:val="18"/>
                      <w:szCs w:val="18"/>
                      <w:lang w:eastAsia="es-CO"/>
                    </w:rPr>
                  </w:pPr>
                  <w:r w:rsidRPr="007D689E">
                    <w:rPr>
                      <w:rFonts w:eastAsia="Times New Roman"/>
                      <w:color w:val="000000"/>
                      <w:sz w:val="18"/>
                      <w:szCs w:val="18"/>
                      <w:lang w:eastAsia="es-CO"/>
                    </w:rPr>
                    <w:t>Primaria</w:t>
                  </w:r>
                </w:p>
              </w:tc>
              <w:tc>
                <w:tcPr>
                  <w:tcW w:w="806" w:type="dxa"/>
                  <w:tcBorders>
                    <w:top w:val="nil"/>
                    <w:left w:val="nil"/>
                    <w:bottom w:val="nil"/>
                    <w:right w:val="single" w:sz="4" w:space="0" w:color="auto"/>
                  </w:tcBorders>
                  <w:shd w:val="clear" w:color="000000" w:fill="F2F2F2"/>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11.497</w:t>
                  </w:r>
                </w:p>
              </w:tc>
              <w:tc>
                <w:tcPr>
                  <w:tcW w:w="1099" w:type="dxa"/>
                  <w:tcBorders>
                    <w:top w:val="nil"/>
                    <w:left w:val="nil"/>
                    <w:bottom w:val="nil"/>
                    <w:right w:val="single" w:sz="4" w:space="0" w:color="auto"/>
                  </w:tcBorders>
                  <w:shd w:val="clear" w:color="000000" w:fill="F2F2F2"/>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11.703</w:t>
                  </w:r>
                </w:p>
              </w:tc>
              <w:tc>
                <w:tcPr>
                  <w:tcW w:w="1131" w:type="dxa"/>
                  <w:tcBorders>
                    <w:top w:val="nil"/>
                    <w:left w:val="nil"/>
                    <w:bottom w:val="nil"/>
                    <w:right w:val="nil"/>
                  </w:tcBorders>
                  <w:shd w:val="clear" w:color="000000" w:fill="F2F2F2"/>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23.200</w:t>
                  </w:r>
                </w:p>
              </w:tc>
            </w:tr>
            <w:tr w:rsidR="004255C7" w:rsidRPr="007D689E">
              <w:trPr>
                <w:trHeight w:val="20"/>
                <w:jc w:val="center"/>
              </w:trPr>
              <w:tc>
                <w:tcPr>
                  <w:tcW w:w="2254" w:type="dxa"/>
                  <w:tcBorders>
                    <w:top w:val="nil"/>
                    <w:left w:val="nil"/>
                    <w:bottom w:val="nil"/>
                    <w:right w:val="single" w:sz="4" w:space="0" w:color="auto"/>
                  </w:tcBorders>
                  <w:shd w:val="clear" w:color="000000" w:fill="FFFFFF"/>
                  <w:noWrap/>
                  <w:vAlign w:val="bottom"/>
                </w:tcPr>
                <w:p w:rsidR="004255C7" w:rsidRPr="007D689E" w:rsidRDefault="004255C7" w:rsidP="004F01E6">
                  <w:pPr>
                    <w:rPr>
                      <w:rFonts w:eastAsia="Times New Roman"/>
                      <w:color w:val="000000"/>
                      <w:sz w:val="18"/>
                      <w:szCs w:val="18"/>
                      <w:lang w:eastAsia="es-CO"/>
                    </w:rPr>
                  </w:pPr>
                  <w:r w:rsidRPr="007D689E">
                    <w:rPr>
                      <w:rFonts w:eastAsia="Times New Roman"/>
                      <w:color w:val="000000"/>
                      <w:sz w:val="18"/>
                      <w:szCs w:val="18"/>
                      <w:lang w:eastAsia="es-CO"/>
                    </w:rPr>
                    <w:t>Secundaria y media</w:t>
                  </w:r>
                </w:p>
              </w:tc>
              <w:tc>
                <w:tcPr>
                  <w:tcW w:w="806" w:type="dxa"/>
                  <w:tcBorders>
                    <w:top w:val="nil"/>
                    <w:left w:val="nil"/>
                    <w:bottom w:val="nil"/>
                    <w:right w:val="single" w:sz="4" w:space="0" w:color="auto"/>
                  </w:tcBorders>
                  <w:shd w:val="clear" w:color="000000" w:fill="FFFFFF"/>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17.442</w:t>
                  </w:r>
                </w:p>
              </w:tc>
              <w:tc>
                <w:tcPr>
                  <w:tcW w:w="1099" w:type="dxa"/>
                  <w:tcBorders>
                    <w:top w:val="nil"/>
                    <w:left w:val="nil"/>
                    <w:bottom w:val="nil"/>
                    <w:right w:val="single" w:sz="4" w:space="0" w:color="auto"/>
                  </w:tcBorders>
                  <w:shd w:val="clear" w:color="000000" w:fill="FFFFFF"/>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16.168</w:t>
                  </w:r>
                </w:p>
              </w:tc>
              <w:tc>
                <w:tcPr>
                  <w:tcW w:w="1131" w:type="dxa"/>
                  <w:tcBorders>
                    <w:top w:val="nil"/>
                    <w:left w:val="nil"/>
                    <w:bottom w:val="nil"/>
                    <w:right w:val="nil"/>
                  </w:tcBorders>
                  <w:shd w:val="clear" w:color="000000" w:fill="FFFFFF"/>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33.610</w:t>
                  </w:r>
                </w:p>
              </w:tc>
            </w:tr>
            <w:tr w:rsidR="004255C7" w:rsidRPr="007D689E">
              <w:trPr>
                <w:trHeight w:val="20"/>
                <w:jc w:val="center"/>
              </w:trPr>
              <w:tc>
                <w:tcPr>
                  <w:tcW w:w="2254" w:type="dxa"/>
                  <w:tcBorders>
                    <w:top w:val="single" w:sz="4" w:space="0" w:color="auto"/>
                    <w:left w:val="nil"/>
                    <w:bottom w:val="single" w:sz="4" w:space="0" w:color="auto"/>
                    <w:right w:val="single" w:sz="4" w:space="0" w:color="auto"/>
                  </w:tcBorders>
                  <w:shd w:val="clear" w:color="000000" w:fill="A5A5A5"/>
                  <w:noWrap/>
                  <w:vAlign w:val="bottom"/>
                </w:tcPr>
                <w:p w:rsidR="004255C7" w:rsidRPr="007D689E" w:rsidRDefault="004255C7" w:rsidP="004F01E6">
                  <w:pPr>
                    <w:rPr>
                      <w:rFonts w:eastAsia="Times New Roman"/>
                      <w:color w:val="000000"/>
                      <w:sz w:val="18"/>
                      <w:szCs w:val="18"/>
                      <w:lang w:eastAsia="es-CO"/>
                    </w:rPr>
                  </w:pPr>
                  <w:r w:rsidRPr="007D689E">
                    <w:rPr>
                      <w:rFonts w:eastAsia="Times New Roman"/>
                      <w:color w:val="000000"/>
                      <w:sz w:val="18"/>
                      <w:szCs w:val="18"/>
                      <w:lang w:eastAsia="es-CO"/>
                    </w:rPr>
                    <w:t>Total</w:t>
                  </w:r>
                </w:p>
              </w:tc>
              <w:tc>
                <w:tcPr>
                  <w:tcW w:w="806" w:type="dxa"/>
                  <w:tcBorders>
                    <w:top w:val="single" w:sz="4" w:space="0" w:color="auto"/>
                    <w:left w:val="nil"/>
                    <w:bottom w:val="single" w:sz="4" w:space="0" w:color="auto"/>
                    <w:right w:val="single" w:sz="4" w:space="0" w:color="auto"/>
                  </w:tcBorders>
                  <w:shd w:val="clear" w:color="000000" w:fill="A5A5A5"/>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31.471</w:t>
                  </w:r>
                </w:p>
              </w:tc>
              <w:tc>
                <w:tcPr>
                  <w:tcW w:w="1099" w:type="dxa"/>
                  <w:tcBorders>
                    <w:top w:val="single" w:sz="4" w:space="0" w:color="auto"/>
                    <w:left w:val="nil"/>
                    <w:bottom w:val="single" w:sz="4" w:space="0" w:color="auto"/>
                    <w:right w:val="single" w:sz="4" w:space="0" w:color="auto"/>
                  </w:tcBorders>
                  <w:shd w:val="clear" w:color="000000" w:fill="A5A5A5"/>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34.851</w:t>
                  </w:r>
                </w:p>
              </w:tc>
              <w:tc>
                <w:tcPr>
                  <w:tcW w:w="1131" w:type="dxa"/>
                  <w:tcBorders>
                    <w:top w:val="single" w:sz="4" w:space="0" w:color="auto"/>
                    <w:left w:val="nil"/>
                    <w:bottom w:val="single" w:sz="4" w:space="0" w:color="auto"/>
                    <w:right w:val="nil"/>
                  </w:tcBorders>
                  <w:shd w:val="clear" w:color="000000" w:fill="A5A5A5"/>
                  <w:noWrap/>
                  <w:vAlign w:val="bottom"/>
                </w:tcPr>
                <w:p w:rsidR="004255C7" w:rsidRPr="007D689E" w:rsidRDefault="004255C7" w:rsidP="004F01E6">
                  <w:pPr>
                    <w:jc w:val="center"/>
                    <w:rPr>
                      <w:rFonts w:eastAsia="Times New Roman"/>
                      <w:sz w:val="18"/>
                      <w:szCs w:val="18"/>
                      <w:lang w:eastAsia="es-CO"/>
                    </w:rPr>
                  </w:pPr>
                  <w:r w:rsidRPr="007D689E">
                    <w:rPr>
                      <w:rFonts w:eastAsia="Times New Roman"/>
                      <w:sz w:val="18"/>
                      <w:szCs w:val="18"/>
                      <w:lang w:eastAsia="es-CO"/>
                    </w:rPr>
                    <w:t>66.322</w:t>
                  </w:r>
                </w:p>
              </w:tc>
            </w:tr>
            <w:tr w:rsidR="004255C7" w:rsidRPr="007D689E">
              <w:trPr>
                <w:trHeight w:val="20"/>
                <w:jc w:val="center"/>
              </w:trPr>
              <w:tc>
                <w:tcPr>
                  <w:tcW w:w="5290" w:type="dxa"/>
                  <w:gridSpan w:val="4"/>
                  <w:tcBorders>
                    <w:top w:val="nil"/>
                    <w:left w:val="nil"/>
                    <w:bottom w:val="nil"/>
                    <w:right w:val="nil"/>
                  </w:tcBorders>
                  <w:shd w:val="clear" w:color="000000" w:fill="FFFFFF"/>
                  <w:noWrap/>
                  <w:vAlign w:val="bottom"/>
                </w:tcPr>
                <w:p w:rsidR="004255C7" w:rsidRPr="007D689E" w:rsidRDefault="004255C7" w:rsidP="004F01E6">
                  <w:pPr>
                    <w:rPr>
                      <w:rFonts w:eastAsia="Times New Roman"/>
                      <w:color w:val="000000"/>
                      <w:sz w:val="16"/>
                      <w:szCs w:val="16"/>
                      <w:lang w:eastAsia="es-CO"/>
                    </w:rPr>
                  </w:pPr>
                  <w:r w:rsidRPr="007D689E">
                    <w:rPr>
                      <w:rFonts w:eastAsia="Times New Roman"/>
                      <w:color w:val="000000"/>
                      <w:sz w:val="16"/>
                      <w:szCs w:val="16"/>
                      <w:lang w:eastAsia="es-CO"/>
                    </w:rPr>
                    <w:t>Fuente: DANE - Investigación de Educación Formal - Formulario C600</w:t>
                  </w:r>
                </w:p>
              </w:tc>
            </w:tr>
            <w:tr w:rsidR="004255C7" w:rsidRPr="007D689E">
              <w:trPr>
                <w:trHeight w:val="20"/>
                <w:jc w:val="center"/>
              </w:trPr>
              <w:tc>
                <w:tcPr>
                  <w:tcW w:w="5290" w:type="dxa"/>
                  <w:gridSpan w:val="4"/>
                  <w:tcBorders>
                    <w:top w:val="nil"/>
                    <w:left w:val="nil"/>
                    <w:bottom w:val="nil"/>
                    <w:right w:val="nil"/>
                  </w:tcBorders>
                  <w:shd w:val="clear" w:color="000000" w:fill="FFFFFF"/>
                  <w:noWrap/>
                  <w:vAlign w:val="bottom"/>
                </w:tcPr>
                <w:p w:rsidR="004255C7" w:rsidRPr="007D689E" w:rsidRDefault="004255C7" w:rsidP="004F01E6">
                  <w:pPr>
                    <w:rPr>
                      <w:rFonts w:eastAsia="Times New Roman"/>
                      <w:color w:val="000000"/>
                      <w:lang w:eastAsia="es-CO"/>
                    </w:rPr>
                  </w:pPr>
                  <w:r w:rsidRPr="007D689E">
                    <w:rPr>
                      <w:rFonts w:eastAsia="Times New Roman"/>
                      <w:sz w:val="16"/>
                      <w:szCs w:val="16"/>
                      <w:lang w:eastAsia="es-CO"/>
                    </w:rPr>
                    <w:t>Fecha de publicación: Agosto 9 de 2012</w:t>
                  </w:r>
                </w:p>
              </w:tc>
            </w:tr>
          </w:tbl>
          <w:p w:rsidR="004255C7" w:rsidRDefault="004255C7" w:rsidP="004255C7">
            <w:pPr>
              <w:jc w:val="both"/>
              <w:rPr>
                <w:rFonts w:ascii="Times New Roman" w:hAnsi="Times New Roman"/>
                <w:color w:val="000000"/>
              </w:rPr>
            </w:pPr>
          </w:p>
          <w:p w:rsidR="004255C7" w:rsidRDefault="00582920" w:rsidP="004255C7">
            <w:pPr>
              <w:jc w:val="both"/>
              <w:rPr>
                <w:rFonts w:ascii="Times New Roman" w:hAnsi="Times New Roman"/>
                <w:color w:val="000000"/>
              </w:rPr>
            </w:pPr>
            <w:r>
              <w:rPr>
                <w:rFonts w:ascii="Times New Roman" w:hAnsi="Times New Roman"/>
                <w:color w:val="000000"/>
              </w:rPr>
              <w:t>La cifra</w:t>
            </w:r>
            <w:r w:rsidR="00B70BD5">
              <w:rPr>
                <w:rFonts w:ascii="Times New Roman" w:hAnsi="Times New Roman"/>
                <w:color w:val="000000"/>
              </w:rPr>
              <w:t xml:space="preserve"> </w:t>
            </w:r>
            <w:r w:rsidR="00937DA8">
              <w:rPr>
                <w:rFonts w:ascii="Times New Roman" w:hAnsi="Times New Roman"/>
                <w:color w:val="000000"/>
              </w:rPr>
              <w:t xml:space="preserve">global </w:t>
            </w:r>
            <w:r w:rsidR="004255C7">
              <w:rPr>
                <w:rFonts w:ascii="Times New Roman" w:hAnsi="Times New Roman"/>
                <w:color w:val="000000"/>
              </w:rPr>
              <w:t>sobre número de</w:t>
            </w:r>
            <w:r>
              <w:rPr>
                <w:rFonts w:ascii="Times New Roman" w:hAnsi="Times New Roman"/>
                <w:color w:val="000000"/>
              </w:rPr>
              <w:t xml:space="preserve"> maestros y estudiantes muestra</w:t>
            </w:r>
            <w:r w:rsidR="004255C7">
              <w:rPr>
                <w:rFonts w:ascii="Times New Roman" w:hAnsi="Times New Roman"/>
                <w:color w:val="000000"/>
              </w:rPr>
              <w:t xml:space="preserve"> una relación mucho más favorable en el sector privado, de menos de 20 comparada con cerca de 30 alumnos por maestro en el sector público.</w:t>
            </w:r>
          </w:p>
          <w:p w:rsidR="004255C7" w:rsidRDefault="004255C7" w:rsidP="005A5B0C">
            <w:pPr>
              <w:jc w:val="both"/>
              <w:rPr>
                <w:rFonts w:ascii="Times New Roman" w:hAnsi="Times New Roman"/>
                <w:color w:val="000000"/>
              </w:rPr>
            </w:pPr>
          </w:p>
        </w:tc>
      </w:tr>
    </w:tbl>
    <w:p w:rsidR="004F01E6" w:rsidRDefault="004F01E6" w:rsidP="005A5B0C">
      <w:pPr>
        <w:jc w:val="both"/>
        <w:rPr>
          <w:rFonts w:ascii="Times New Roman" w:hAnsi="Times New Roman"/>
          <w:color w:val="000000"/>
        </w:rPr>
      </w:pPr>
    </w:p>
    <w:p w:rsidR="008E59EC" w:rsidRDefault="00E17AAA" w:rsidP="00CB17A2">
      <w:pPr>
        <w:jc w:val="both"/>
        <w:rPr>
          <w:rFonts w:ascii="Times New Roman" w:hAnsi="Times New Roman"/>
        </w:rPr>
      </w:pPr>
      <w:r w:rsidRPr="00E17AAA">
        <w:rPr>
          <w:rFonts w:ascii="Times New Roman" w:hAnsi="Times New Roman"/>
          <w:u w:val="single"/>
        </w:rPr>
        <w:t>Jornada limitada</w:t>
      </w:r>
      <w:r w:rsidR="00CE27A3" w:rsidRPr="00BA20B4">
        <w:rPr>
          <w:rFonts w:ascii="Times New Roman" w:hAnsi="Times New Roman"/>
        </w:rPr>
        <w:t xml:space="preserve">. La duración de la jornada escolar en los colegios oficiales de Bogotá es corta (de 4,5 a 6 horas diarias, cuando lo recomendable es de 8 horas diarias), lo cual genera </w:t>
      </w:r>
      <w:r w:rsidR="003C0D28">
        <w:rPr>
          <w:rFonts w:ascii="Times New Roman" w:hAnsi="Times New Roman"/>
        </w:rPr>
        <w:t xml:space="preserve">restricciones </w:t>
      </w:r>
      <w:r w:rsidR="00CE27A3" w:rsidRPr="00BA20B4">
        <w:rPr>
          <w:rFonts w:ascii="Times New Roman" w:hAnsi="Times New Roman"/>
        </w:rPr>
        <w:t>en los tiempos de aprendizaje</w:t>
      </w:r>
      <w:r w:rsidR="003C0D28">
        <w:rPr>
          <w:rFonts w:ascii="Times New Roman" w:hAnsi="Times New Roman"/>
        </w:rPr>
        <w:t xml:space="preserve"> e </w:t>
      </w:r>
      <w:r w:rsidR="003C0D28" w:rsidRPr="00BA20B4">
        <w:rPr>
          <w:rFonts w:ascii="Times New Roman" w:hAnsi="Times New Roman"/>
        </w:rPr>
        <w:t>inequidad</w:t>
      </w:r>
      <w:r w:rsidR="00CE27A3" w:rsidRPr="00BA20B4">
        <w:rPr>
          <w:rFonts w:ascii="Times New Roman" w:hAnsi="Times New Roman"/>
        </w:rPr>
        <w:t xml:space="preserve"> en comparación con los colegios privados. Las causas directas de este problema son:</w:t>
      </w:r>
    </w:p>
    <w:p w:rsidR="00DE38C1" w:rsidRDefault="00CB17A2">
      <w:pPr>
        <w:pStyle w:val="Prrafodelista"/>
        <w:numPr>
          <w:ilvl w:val="0"/>
          <w:numId w:val="9"/>
        </w:numPr>
        <w:jc w:val="both"/>
      </w:pPr>
      <w:r w:rsidRPr="00CB17A2">
        <w:t>Infraestructura, dotación y servicios complementarios insuficientes para ampliar la duración de la jornada</w:t>
      </w:r>
      <w:r w:rsidR="005C1FD5">
        <w:t xml:space="preserve"> y mantener la cobertura.</w:t>
      </w:r>
    </w:p>
    <w:p w:rsidR="00CB17A2" w:rsidRDefault="00CB17A2" w:rsidP="00CB17A2">
      <w:pPr>
        <w:pStyle w:val="Prrafodelista"/>
        <w:numPr>
          <w:ilvl w:val="0"/>
          <w:numId w:val="9"/>
        </w:numPr>
        <w:jc w:val="both"/>
      </w:pPr>
      <w:r>
        <w:t>Ausencia de una estructura curricular para 40 horas semanales.</w:t>
      </w:r>
    </w:p>
    <w:p w:rsidR="00694DD4" w:rsidRDefault="00694DD4">
      <w:pPr>
        <w:pStyle w:val="Prrafodelista"/>
        <w:numPr>
          <w:ilvl w:val="0"/>
          <w:numId w:val="9"/>
        </w:numPr>
        <w:jc w:val="both"/>
      </w:pPr>
      <w:r>
        <w:t>Normatividad laboral que dificulta la reorganización de los maestros y malestar de los docentes frente al cambio, lo cual genera tensiones y resistencias.</w:t>
      </w:r>
    </w:p>
    <w:p w:rsidR="00582920" w:rsidRDefault="00E129E2">
      <w:pPr>
        <w:pStyle w:val="Prrafodelista"/>
        <w:numPr>
          <w:ilvl w:val="0"/>
          <w:numId w:val="9"/>
        </w:numPr>
        <w:jc w:val="both"/>
      </w:pPr>
      <w:r>
        <w:t>Rigidez curricular, indiferencia respeto a los intereses de aprendizaje de los estudiantes y escasa utilización de otros ambientes de aprendizaje distintos al espacio escolar.</w:t>
      </w:r>
    </w:p>
    <w:p w:rsidR="00DE38C1" w:rsidRDefault="00582920">
      <w:pPr>
        <w:pStyle w:val="Prrafodelista"/>
        <w:numPr>
          <w:ilvl w:val="0"/>
          <w:numId w:val="9"/>
        </w:numPr>
        <w:jc w:val="both"/>
      </w:pPr>
      <w:r>
        <w:t>Limitaciones financieras.</w:t>
      </w:r>
    </w:p>
    <w:p w:rsidR="003D06A4" w:rsidRPr="00BA20B4" w:rsidRDefault="003D06A4" w:rsidP="005A5B0C">
      <w:pPr>
        <w:jc w:val="both"/>
        <w:rPr>
          <w:rFonts w:ascii="Times New Roman" w:hAnsi="Times New Roman"/>
          <w:color w:val="000000"/>
        </w:rPr>
      </w:pPr>
    </w:p>
    <w:p w:rsidR="006F3F89" w:rsidRDefault="00694DD4" w:rsidP="00E116CB">
      <w:pPr>
        <w:jc w:val="both"/>
        <w:rPr>
          <w:rFonts w:ascii="Times New Roman" w:hAnsi="Times New Roman"/>
        </w:rPr>
      </w:pPr>
      <w:r>
        <w:rPr>
          <w:rFonts w:ascii="Times New Roman" w:hAnsi="Times New Roman"/>
          <w:u w:val="single"/>
        </w:rPr>
        <w:t xml:space="preserve">Formación en </w:t>
      </w:r>
      <w:r w:rsidR="00E116CB" w:rsidRPr="00E17AAA">
        <w:rPr>
          <w:rFonts w:ascii="Times New Roman" w:hAnsi="Times New Roman"/>
          <w:u w:val="single"/>
        </w:rPr>
        <w:t>Ciudadanía y convivencia</w:t>
      </w:r>
      <w:r w:rsidR="00E116CB" w:rsidRPr="00BA20B4">
        <w:rPr>
          <w:rFonts w:ascii="Times New Roman" w:hAnsi="Times New Roman"/>
        </w:rPr>
        <w:t xml:space="preserve">. </w:t>
      </w:r>
      <w:r w:rsidR="00E116CB">
        <w:rPr>
          <w:rFonts w:ascii="Times New Roman" w:hAnsi="Times New Roman"/>
        </w:rPr>
        <w:t>Los</w:t>
      </w:r>
      <w:r w:rsidR="00E116CB" w:rsidRPr="00BA20B4">
        <w:rPr>
          <w:rFonts w:ascii="Times New Roman" w:hAnsi="Times New Roman"/>
        </w:rPr>
        <w:t xml:space="preserve"> proceso</w:t>
      </w:r>
      <w:r w:rsidR="00E116CB">
        <w:rPr>
          <w:rFonts w:ascii="Times New Roman" w:hAnsi="Times New Roman"/>
        </w:rPr>
        <w:t>s</w:t>
      </w:r>
      <w:r w:rsidR="00E116CB" w:rsidRPr="00BA20B4">
        <w:rPr>
          <w:rFonts w:ascii="Times New Roman" w:hAnsi="Times New Roman"/>
        </w:rPr>
        <w:t xml:space="preserve"> de enseñanza y aprendizaje en los temas </w:t>
      </w:r>
      <w:r w:rsidR="00E116CB">
        <w:rPr>
          <w:rFonts w:ascii="Times New Roman" w:hAnsi="Times New Roman"/>
        </w:rPr>
        <w:t>relacionados con el ejercicio de la ciudadanía –derechos humanos, paz, diversidad, ambiente, autocuidado y participación-</w:t>
      </w:r>
      <w:r w:rsidR="00E116CB" w:rsidRPr="00BA20B4">
        <w:rPr>
          <w:rFonts w:ascii="Times New Roman" w:hAnsi="Times New Roman"/>
        </w:rPr>
        <w:t xml:space="preserve"> se está</w:t>
      </w:r>
      <w:r w:rsidR="00E116CB">
        <w:rPr>
          <w:rFonts w:ascii="Times New Roman" w:hAnsi="Times New Roman"/>
        </w:rPr>
        <w:t>n</w:t>
      </w:r>
      <w:r w:rsidR="00E116CB" w:rsidRPr="00BA20B4">
        <w:rPr>
          <w:rFonts w:ascii="Times New Roman" w:hAnsi="Times New Roman"/>
        </w:rPr>
        <w:t xml:space="preserve"> realizando con </w:t>
      </w:r>
      <w:r w:rsidR="00EF79AA">
        <w:rPr>
          <w:rFonts w:ascii="Times New Roman" w:hAnsi="Times New Roman"/>
        </w:rPr>
        <w:t>metodologías pedagógicas poco pertinentes</w:t>
      </w:r>
      <w:r w:rsidR="00E116CB" w:rsidRPr="00BA20B4">
        <w:rPr>
          <w:rFonts w:ascii="Times New Roman" w:hAnsi="Times New Roman"/>
        </w:rPr>
        <w:t>, descontextualizadas de</w:t>
      </w:r>
      <w:r w:rsidR="00E116CB">
        <w:rPr>
          <w:rFonts w:ascii="Times New Roman" w:hAnsi="Times New Roman"/>
        </w:rPr>
        <w:t xml:space="preserve"> la vida cotidiana y el entorno escolar</w:t>
      </w:r>
      <w:r w:rsidR="00E116CB" w:rsidRPr="00BA20B4">
        <w:rPr>
          <w:rFonts w:ascii="Times New Roman" w:hAnsi="Times New Roman"/>
        </w:rPr>
        <w:t xml:space="preserve"> y con una cobertura insuficiente</w:t>
      </w:r>
    </w:p>
    <w:p w:rsidR="00E116CB" w:rsidRDefault="00E116CB" w:rsidP="00E116CB">
      <w:pPr>
        <w:jc w:val="both"/>
        <w:rPr>
          <w:rFonts w:ascii="Times New Roman" w:hAnsi="Times New Roman"/>
        </w:rPr>
      </w:pPr>
      <w:r w:rsidRPr="00BA20B4">
        <w:rPr>
          <w:rFonts w:ascii="Times New Roman" w:hAnsi="Times New Roman"/>
        </w:rPr>
        <w:t>.</w:t>
      </w:r>
    </w:p>
    <w:p w:rsidR="00E116CB" w:rsidRDefault="00E116CB" w:rsidP="00E116CB">
      <w:pPr>
        <w:jc w:val="both"/>
        <w:rPr>
          <w:rFonts w:ascii="Times New Roman" w:hAnsi="Times New Roman"/>
          <w:bCs/>
        </w:rPr>
      </w:pPr>
      <w:r w:rsidRPr="00BA20B4">
        <w:rPr>
          <w:rFonts w:ascii="Times New Roman" w:hAnsi="Times New Roman"/>
          <w:bCs/>
        </w:rPr>
        <w:t>Las causas directas de estos problemas son:</w:t>
      </w:r>
    </w:p>
    <w:p w:rsidR="00E116CB" w:rsidRDefault="00E116CB" w:rsidP="00E116CB">
      <w:pPr>
        <w:pStyle w:val="Prrafodelista"/>
        <w:numPr>
          <w:ilvl w:val="0"/>
          <w:numId w:val="9"/>
        </w:numPr>
        <w:jc w:val="both"/>
        <w:rPr>
          <w:bCs/>
        </w:rPr>
      </w:pPr>
      <w:r w:rsidRPr="00CB17A2">
        <w:rPr>
          <w:bCs/>
        </w:rPr>
        <w:t>No ha existido</w:t>
      </w:r>
      <w:r>
        <w:rPr>
          <w:bCs/>
        </w:rPr>
        <w:t xml:space="preserve"> una estrategia sistemática para</w:t>
      </w:r>
      <w:r w:rsidRPr="00CB17A2">
        <w:rPr>
          <w:bCs/>
        </w:rPr>
        <w:t xml:space="preserve"> incorporar suficientemente dentro del currículo estos temas.</w:t>
      </w:r>
    </w:p>
    <w:p w:rsidR="00E116CB" w:rsidRDefault="00244749" w:rsidP="00E116CB">
      <w:pPr>
        <w:pStyle w:val="Prrafodelista"/>
        <w:numPr>
          <w:ilvl w:val="0"/>
          <w:numId w:val="9"/>
        </w:numPr>
        <w:jc w:val="both"/>
        <w:rPr>
          <w:bCs/>
        </w:rPr>
      </w:pPr>
      <w:r>
        <w:rPr>
          <w:bCs/>
        </w:rPr>
        <w:t>No se cuenta con docentes</w:t>
      </w:r>
      <w:r w:rsidR="00E116CB">
        <w:rPr>
          <w:bCs/>
        </w:rPr>
        <w:t xml:space="preserve"> suficientemente capacitado</w:t>
      </w:r>
      <w:r>
        <w:rPr>
          <w:bCs/>
        </w:rPr>
        <w:t>s</w:t>
      </w:r>
      <w:r w:rsidR="00E116CB">
        <w:rPr>
          <w:bCs/>
        </w:rPr>
        <w:t xml:space="preserve"> en los colegios para la enseñanza de estos temas.</w:t>
      </w:r>
    </w:p>
    <w:p w:rsidR="00E116CB" w:rsidRDefault="00E116CB" w:rsidP="00E116CB">
      <w:pPr>
        <w:pStyle w:val="Prrafodelista"/>
        <w:numPr>
          <w:ilvl w:val="0"/>
          <w:numId w:val="9"/>
        </w:numPr>
        <w:jc w:val="both"/>
        <w:rPr>
          <w:bCs/>
        </w:rPr>
      </w:pPr>
      <w:r>
        <w:rPr>
          <w:bCs/>
        </w:rPr>
        <w:t xml:space="preserve">No se cuenta con lineamientos claros desde la SED sobre la educación para la ciudadanía y la convivencia, lo que implica la fragmentación de los temas y de las acciones. </w:t>
      </w:r>
    </w:p>
    <w:p w:rsidR="00E116CB" w:rsidRDefault="00E116CB" w:rsidP="00E116CB">
      <w:pPr>
        <w:pStyle w:val="Prrafodelista"/>
        <w:numPr>
          <w:ilvl w:val="0"/>
          <w:numId w:val="9"/>
        </w:numPr>
        <w:jc w:val="both"/>
        <w:rPr>
          <w:bCs/>
        </w:rPr>
      </w:pPr>
      <w:r>
        <w:rPr>
          <w:bCs/>
        </w:rPr>
        <w:lastRenderedPageBreak/>
        <w:t xml:space="preserve">No se han implementado procesos articulados y sostenidos en el tiempo orientados a potenciar capacidades para la ciudadanía. </w:t>
      </w:r>
    </w:p>
    <w:p w:rsidR="00E116CB" w:rsidRDefault="00E116CB" w:rsidP="00E116CB">
      <w:pPr>
        <w:pStyle w:val="Prrafodelista"/>
        <w:numPr>
          <w:ilvl w:val="0"/>
          <w:numId w:val="9"/>
        </w:numPr>
        <w:jc w:val="both"/>
        <w:rPr>
          <w:bCs/>
        </w:rPr>
      </w:pPr>
      <w:r>
        <w:rPr>
          <w:bCs/>
        </w:rPr>
        <w:t>Las áreas responsables de estos temas no tienen instrumentos y mecanismos claros de coordinación y evaluación del impacto de las iniciativas.</w:t>
      </w:r>
    </w:p>
    <w:p w:rsidR="00244749" w:rsidRDefault="00E116CB" w:rsidP="00E116CB">
      <w:pPr>
        <w:pStyle w:val="Prrafodelista"/>
        <w:numPr>
          <w:ilvl w:val="0"/>
          <w:numId w:val="9"/>
        </w:numPr>
        <w:jc w:val="both"/>
        <w:rPr>
          <w:bCs/>
        </w:rPr>
      </w:pPr>
      <w:r>
        <w:rPr>
          <w:bCs/>
        </w:rPr>
        <w:t xml:space="preserve">No se cuenta con herramientas de sistematización y gestión del conocimiento que permitan identificar y replicar experiencias significativas de educación para la ciudadanía y la convivencia que se desarrollan en los colegios. </w:t>
      </w:r>
    </w:p>
    <w:p w:rsidR="00E116CB" w:rsidRDefault="00244749" w:rsidP="00E116CB">
      <w:pPr>
        <w:pStyle w:val="Prrafodelista"/>
        <w:numPr>
          <w:ilvl w:val="0"/>
          <w:numId w:val="9"/>
        </w:numPr>
        <w:jc w:val="both"/>
        <w:rPr>
          <w:bCs/>
        </w:rPr>
      </w:pPr>
      <w:r>
        <w:rPr>
          <w:bCs/>
        </w:rPr>
        <w:t>Se crean cátedras pero no se transforman las prácticas.</w:t>
      </w:r>
    </w:p>
    <w:p w:rsidR="00754F86" w:rsidRPr="00BA20B4" w:rsidRDefault="00754F86" w:rsidP="005A5B0C">
      <w:pPr>
        <w:jc w:val="both"/>
        <w:rPr>
          <w:rFonts w:ascii="Times New Roman" w:hAnsi="Times New Roman"/>
          <w:color w:val="000000"/>
        </w:rPr>
      </w:pPr>
    </w:p>
    <w:p w:rsidR="00DE38C1" w:rsidRDefault="00E17AAA">
      <w:pPr>
        <w:jc w:val="both"/>
      </w:pPr>
      <w:r w:rsidRPr="00E17AAA">
        <w:rPr>
          <w:rFonts w:ascii="Times New Roman" w:hAnsi="Times New Roman"/>
          <w:color w:val="000000"/>
          <w:u w:val="single"/>
        </w:rPr>
        <w:t>Pertinencia de la educación media</w:t>
      </w:r>
      <w:r w:rsidR="00CD58DA" w:rsidRPr="00CD58DA">
        <w:rPr>
          <w:rFonts w:ascii="Times New Roman" w:hAnsi="Times New Roman"/>
          <w:color w:val="000000"/>
        </w:rPr>
        <w:t xml:space="preserve">. </w:t>
      </w:r>
      <w:r w:rsidR="00CD58DA" w:rsidRPr="00CD58DA">
        <w:rPr>
          <w:rFonts w:ascii="Times New Roman" w:hAnsi="Times New Roman"/>
        </w:rPr>
        <w:t>La educación media pública en Bogotá no tiene la calidad requerida por cuanto no es pertinente en su estructura curricular, los métodos pedagógicos son principalmente pasivos y no establece una clara articulación con la educación superior.</w:t>
      </w:r>
      <w:r w:rsidR="00C67B65">
        <w:rPr>
          <w:rFonts w:ascii="Times New Roman" w:hAnsi="Times New Roman"/>
        </w:rPr>
        <w:t xml:space="preserve"> Las causas directas y factores incidentes de estos problemas son:</w:t>
      </w:r>
    </w:p>
    <w:p w:rsidR="00CD58DA" w:rsidRPr="005914B0" w:rsidRDefault="00E17AAA" w:rsidP="008B00DD">
      <w:pPr>
        <w:pStyle w:val="Prrafodelista"/>
        <w:numPr>
          <w:ilvl w:val="0"/>
          <w:numId w:val="9"/>
        </w:numPr>
        <w:jc w:val="both"/>
      </w:pPr>
      <w:r w:rsidRPr="00E17AAA">
        <w:t>Rezagos en la innovación curricular</w:t>
      </w:r>
      <w:r w:rsidR="005C1FD5">
        <w:t>.</w:t>
      </w:r>
    </w:p>
    <w:p w:rsidR="00CD58DA" w:rsidRPr="005914B0" w:rsidRDefault="00E17AAA" w:rsidP="008B00DD">
      <w:pPr>
        <w:pStyle w:val="Prrafodelista"/>
        <w:numPr>
          <w:ilvl w:val="0"/>
          <w:numId w:val="9"/>
        </w:numPr>
        <w:jc w:val="both"/>
      </w:pPr>
      <w:r w:rsidRPr="00E17AAA">
        <w:t>Restricciones de infraestructura y dotación para ampliar la oferta a cursos prácticos.</w:t>
      </w:r>
    </w:p>
    <w:p w:rsidR="00CD58DA" w:rsidRPr="005914B0" w:rsidRDefault="00E17AAA" w:rsidP="008B00DD">
      <w:pPr>
        <w:pStyle w:val="Prrafodelista"/>
        <w:numPr>
          <w:ilvl w:val="0"/>
          <w:numId w:val="9"/>
        </w:numPr>
        <w:jc w:val="both"/>
      </w:pPr>
      <w:r w:rsidRPr="00E17AAA">
        <w:t>Insuficientes maestros formados en nuevos métodos pedagógicos.</w:t>
      </w:r>
    </w:p>
    <w:p w:rsidR="00CD58DA" w:rsidRPr="005914B0" w:rsidRDefault="00E17AAA" w:rsidP="008B00DD">
      <w:pPr>
        <w:pStyle w:val="Prrafodelista"/>
        <w:numPr>
          <w:ilvl w:val="0"/>
          <w:numId w:val="9"/>
        </w:numPr>
        <w:jc w:val="both"/>
      </w:pPr>
      <w:r w:rsidRPr="00E17AAA">
        <w:t>Limitaciones para introducir métodos pedagógicos activos por el número de estudiantes por maestro.</w:t>
      </w:r>
    </w:p>
    <w:p w:rsidR="00DB716D" w:rsidRPr="005914B0" w:rsidRDefault="00DB716D" w:rsidP="008B00DD">
      <w:pPr>
        <w:rPr>
          <w:rFonts w:ascii="Times New Roman" w:hAnsi="Times New Roman"/>
        </w:rPr>
      </w:pPr>
    </w:p>
    <w:p w:rsidR="00DE38C1" w:rsidRDefault="00E17AAA">
      <w:pPr>
        <w:jc w:val="both"/>
        <w:rPr>
          <w:rFonts w:ascii="Times New Roman" w:hAnsi="Times New Roman"/>
          <w:color w:val="000000"/>
        </w:rPr>
      </w:pPr>
      <w:r w:rsidRPr="00E17AAA">
        <w:rPr>
          <w:rFonts w:ascii="Times New Roman" w:hAnsi="Times New Roman"/>
          <w:color w:val="000000"/>
          <w:u w:val="single"/>
        </w:rPr>
        <w:t>Evaluación de la calidad.</w:t>
      </w:r>
      <w:r w:rsidR="00AA54DF" w:rsidRPr="00BA20B4">
        <w:rPr>
          <w:rFonts w:ascii="Times New Roman" w:hAnsi="Times New Roman"/>
          <w:color w:val="000000"/>
        </w:rPr>
        <w:t xml:space="preserve"> Aunque </w:t>
      </w:r>
      <w:r w:rsidR="00AB1B32">
        <w:rPr>
          <w:rFonts w:ascii="Times New Roman" w:hAnsi="Times New Roman"/>
          <w:color w:val="000000"/>
        </w:rPr>
        <w:t xml:space="preserve">la Secretaría ha avanzado en la conformación de un sistema de evaluación de la educación todavía hace falta consolidarlo y garantizar su articulación como herramienta para el mejoramiento de la calidad educativa en todos los niveles. </w:t>
      </w:r>
      <w:r w:rsidR="00AA54DF" w:rsidRPr="00BA20B4">
        <w:rPr>
          <w:rFonts w:ascii="Times New Roman" w:hAnsi="Times New Roman"/>
          <w:color w:val="000000"/>
        </w:rPr>
        <w:t>Las causas directas de este problema son:</w:t>
      </w:r>
    </w:p>
    <w:p w:rsidR="00AA54DF" w:rsidRPr="005914B0" w:rsidRDefault="00E17AAA" w:rsidP="00AA54DF">
      <w:pPr>
        <w:pStyle w:val="Prrafodelista"/>
        <w:numPr>
          <w:ilvl w:val="0"/>
          <w:numId w:val="4"/>
        </w:numPr>
        <w:jc w:val="both"/>
        <w:rPr>
          <w:szCs w:val="20"/>
          <w:lang w:eastAsia="es-ES_tradnl"/>
        </w:rPr>
      </w:pPr>
      <w:r w:rsidRPr="00E17AAA">
        <w:rPr>
          <w:color w:val="000000"/>
        </w:rPr>
        <w:t>Sistema de información precario para apoyar</w:t>
      </w:r>
      <w:r w:rsidR="00583ACA">
        <w:rPr>
          <w:color w:val="000000"/>
        </w:rPr>
        <w:t xml:space="preserve"> la gestión educativa de los</w:t>
      </w:r>
      <w:r w:rsidRPr="00E17AAA">
        <w:rPr>
          <w:color w:val="000000"/>
        </w:rPr>
        <w:t xml:space="preserve"> colegios.</w:t>
      </w:r>
    </w:p>
    <w:p w:rsidR="00AA54DF" w:rsidRPr="005914B0" w:rsidRDefault="00E17AAA" w:rsidP="00AA54DF">
      <w:pPr>
        <w:pStyle w:val="Prrafodelista"/>
        <w:numPr>
          <w:ilvl w:val="0"/>
          <w:numId w:val="4"/>
        </w:numPr>
        <w:jc w:val="both"/>
        <w:rPr>
          <w:szCs w:val="20"/>
          <w:lang w:eastAsia="es-ES_tradnl"/>
        </w:rPr>
      </w:pPr>
      <w:r w:rsidRPr="00E17AAA">
        <w:rPr>
          <w:color w:val="000000"/>
        </w:rPr>
        <w:t>Desarticulación de los resultados de las investigaciones y estudios</w:t>
      </w:r>
      <w:r w:rsidR="00583ACA">
        <w:rPr>
          <w:color w:val="000000"/>
        </w:rPr>
        <w:t xml:space="preserve"> que realiza la SED</w:t>
      </w:r>
      <w:r w:rsidRPr="00E17AAA">
        <w:rPr>
          <w:color w:val="000000"/>
        </w:rPr>
        <w:t>.</w:t>
      </w:r>
    </w:p>
    <w:p w:rsidR="006F3F89" w:rsidRPr="006F3F89" w:rsidRDefault="00E17AAA" w:rsidP="00AA54DF">
      <w:pPr>
        <w:pStyle w:val="Prrafodelista"/>
        <w:numPr>
          <w:ilvl w:val="0"/>
          <w:numId w:val="4"/>
        </w:numPr>
        <w:jc w:val="both"/>
        <w:rPr>
          <w:szCs w:val="20"/>
          <w:lang w:eastAsia="es-ES_tradnl"/>
        </w:rPr>
      </w:pPr>
      <w:r w:rsidRPr="00E17AAA">
        <w:rPr>
          <w:color w:val="000000"/>
        </w:rPr>
        <w:t>Insuficiencia de</w:t>
      </w:r>
      <w:r w:rsidR="00583ACA">
        <w:rPr>
          <w:color w:val="000000"/>
        </w:rPr>
        <w:t xml:space="preserve"> identificación e implementación de</w:t>
      </w:r>
      <w:r w:rsidR="00B70BD5">
        <w:rPr>
          <w:color w:val="000000"/>
        </w:rPr>
        <w:t xml:space="preserve"> </w:t>
      </w:r>
      <w:r w:rsidR="00583ACA">
        <w:rPr>
          <w:color w:val="000000"/>
        </w:rPr>
        <w:t>procesos y procedimientos para alcanzar una excelente</w:t>
      </w:r>
      <w:r w:rsidR="00B70BD5">
        <w:rPr>
          <w:color w:val="000000"/>
        </w:rPr>
        <w:t xml:space="preserve"> </w:t>
      </w:r>
      <w:r w:rsidR="00583ACA">
        <w:rPr>
          <w:color w:val="000000"/>
        </w:rPr>
        <w:t>calidad educativa</w:t>
      </w:r>
      <w:r w:rsidRPr="00E17AAA">
        <w:rPr>
          <w:color w:val="000000"/>
        </w:rPr>
        <w:t>.</w:t>
      </w:r>
    </w:p>
    <w:p w:rsidR="00AA54DF" w:rsidRPr="005914B0" w:rsidRDefault="006F3F89" w:rsidP="00AA54DF">
      <w:pPr>
        <w:pStyle w:val="Prrafodelista"/>
        <w:numPr>
          <w:ilvl w:val="0"/>
          <w:numId w:val="4"/>
        </w:numPr>
        <w:jc w:val="both"/>
        <w:rPr>
          <w:szCs w:val="20"/>
          <w:lang w:eastAsia="es-ES_tradnl"/>
        </w:rPr>
      </w:pPr>
      <w:r>
        <w:rPr>
          <w:color w:val="000000"/>
        </w:rPr>
        <w:t>Falta continuidad en las propuestas desarrolladas por la SED.</w:t>
      </w:r>
    </w:p>
    <w:p w:rsidR="003633AC" w:rsidRDefault="003633AC" w:rsidP="00F56750">
      <w:pPr>
        <w:pStyle w:val="Prrafodelista"/>
        <w:jc w:val="both"/>
      </w:pPr>
    </w:p>
    <w:p w:rsidR="00DE38C1" w:rsidRDefault="00653660">
      <w:pPr>
        <w:jc w:val="both"/>
        <w:rPr>
          <w:rFonts w:ascii="Times New Roman" w:hAnsi="Times New Roman"/>
          <w:color w:val="000000"/>
        </w:rPr>
      </w:pPr>
      <w:r w:rsidRPr="00541FBC">
        <w:rPr>
          <w:rFonts w:ascii="Times New Roman" w:hAnsi="Times New Roman"/>
          <w:color w:val="000000"/>
          <w:u w:val="single"/>
        </w:rPr>
        <w:t>Tecnología</w:t>
      </w:r>
      <w:r w:rsidR="005914B0" w:rsidRPr="00541FBC">
        <w:rPr>
          <w:rFonts w:ascii="Times New Roman" w:hAnsi="Times New Roman"/>
          <w:color w:val="000000"/>
          <w:u w:val="single"/>
        </w:rPr>
        <w:t>s de información y comunicación</w:t>
      </w:r>
      <w:r w:rsidRPr="00BA20B4">
        <w:rPr>
          <w:rFonts w:ascii="Times New Roman" w:hAnsi="Times New Roman"/>
          <w:color w:val="000000"/>
        </w:rPr>
        <w:t>.</w:t>
      </w:r>
      <w:r>
        <w:rPr>
          <w:rFonts w:ascii="Times New Roman" w:hAnsi="Times New Roman"/>
          <w:color w:val="000000"/>
        </w:rPr>
        <w:t xml:space="preserve"> En materia tecnológica se presentan los siguientes problemas específicos:</w:t>
      </w:r>
      <w:r w:rsidR="00B70BD5">
        <w:rPr>
          <w:rFonts w:ascii="Times New Roman" w:hAnsi="Times New Roman"/>
          <w:color w:val="000000"/>
        </w:rPr>
        <w:t xml:space="preserve"> </w:t>
      </w:r>
      <w:r w:rsidR="005914B0">
        <w:rPr>
          <w:rFonts w:ascii="Times New Roman" w:hAnsi="Times New Roman"/>
        </w:rPr>
        <w:t>a</w:t>
      </w:r>
      <w:r w:rsidRPr="00BA20B4">
        <w:rPr>
          <w:rFonts w:ascii="Times New Roman" w:hAnsi="Times New Roman"/>
        </w:rPr>
        <w:t xml:space="preserve">) Deficiente estado de los equipos de cómputo; </w:t>
      </w:r>
      <w:r w:rsidR="005914B0">
        <w:rPr>
          <w:rFonts w:ascii="Times New Roman" w:hAnsi="Times New Roman"/>
        </w:rPr>
        <w:t>b</w:t>
      </w:r>
      <w:r w:rsidRPr="00BA20B4">
        <w:rPr>
          <w:rFonts w:ascii="Times New Roman" w:hAnsi="Times New Roman"/>
        </w:rPr>
        <w:t xml:space="preserve">) </w:t>
      </w:r>
      <w:r w:rsidR="0090198B">
        <w:rPr>
          <w:rFonts w:ascii="Times New Roman" w:hAnsi="Times New Roman"/>
        </w:rPr>
        <w:t xml:space="preserve">Deficiencia y ausencia de integralidad y comunicación entre </w:t>
      </w:r>
      <w:r w:rsidRPr="00BA20B4">
        <w:rPr>
          <w:rFonts w:ascii="Times New Roman" w:hAnsi="Times New Roman"/>
        </w:rPr>
        <w:t xml:space="preserve">los sistemas de información de los procesos administrativos y académicos; </w:t>
      </w:r>
      <w:r w:rsidR="005914B0">
        <w:rPr>
          <w:rFonts w:ascii="Times New Roman" w:hAnsi="Times New Roman"/>
        </w:rPr>
        <w:t>c</w:t>
      </w:r>
      <w:r w:rsidRPr="00BA20B4">
        <w:rPr>
          <w:rFonts w:ascii="Times New Roman" w:hAnsi="Times New Roman"/>
        </w:rPr>
        <w:t>) Baja incorporación de la tecnología de información y comunicación en los procesos pedagógicos.</w:t>
      </w:r>
      <w:r w:rsidR="00B70BD5">
        <w:rPr>
          <w:rFonts w:ascii="Times New Roman" w:hAnsi="Times New Roman"/>
        </w:rPr>
        <w:t xml:space="preserve"> </w:t>
      </w:r>
      <w:r w:rsidRPr="00BA20B4">
        <w:rPr>
          <w:rFonts w:ascii="Times New Roman" w:hAnsi="Times New Roman"/>
          <w:color w:val="000000"/>
        </w:rPr>
        <w:t>Las causas directas de estos problemas son:</w:t>
      </w:r>
    </w:p>
    <w:p w:rsidR="00653660" w:rsidRPr="00CC5E0F" w:rsidRDefault="00E17AAA" w:rsidP="00653660">
      <w:pPr>
        <w:pStyle w:val="Prrafodelista"/>
        <w:numPr>
          <w:ilvl w:val="0"/>
          <w:numId w:val="4"/>
        </w:numPr>
        <w:jc w:val="both"/>
        <w:rPr>
          <w:color w:val="000000"/>
        </w:rPr>
      </w:pPr>
      <w:r w:rsidRPr="00E17AAA">
        <w:rPr>
          <w:color w:val="000000"/>
        </w:rPr>
        <w:t>Obsolescencia tecnológica de los equipos de cómputo de la Secretaría de Educación.</w:t>
      </w:r>
    </w:p>
    <w:p w:rsidR="00653660" w:rsidRPr="00CC5E0F" w:rsidRDefault="00E17AAA" w:rsidP="00653660">
      <w:pPr>
        <w:pStyle w:val="Prrafodelista"/>
        <w:numPr>
          <w:ilvl w:val="0"/>
          <w:numId w:val="4"/>
        </w:numPr>
        <w:jc w:val="both"/>
        <w:rPr>
          <w:color w:val="000000"/>
        </w:rPr>
      </w:pPr>
      <w:r w:rsidRPr="00E17AAA">
        <w:rPr>
          <w:color w:val="000000"/>
        </w:rPr>
        <w:t xml:space="preserve">Poca disponibilidad de recurso de </w:t>
      </w:r>
      <w:r w:rsidR="00F653A0">
        <w:rPr>
          <w:color w:val="000000"/>
        </w:rPr>
        <w:t>i</w:t>
      </w:r>
      <w:r w:rsidRPr="00E17AAA">
        <w:rPr>
          <w:color w:val="000000"/>
        </w:rPr>
        <w:t>nternet debido a los anchos de banda limitados para los colegios distritales.</w:t>
      </w:r>
    </w:p>
    <w:p w:rsidR="00653660" w:rsidRPr="00CC5E0F" w:rsidRDefault="00E17AAA" w:rsidP="00653660">
      <w:pPr>
        <w:pStyle w:val="Prrafodelista"/>
        <w:numPr>
          <w:ilvl w:val="0"/>
          <w:numId w:val="4"/>
        </w:numPr>
        <w:jc w:val="both"/>
        <w:rPr>
          <w:color w:val="000000"/>
        </w:rPr>
      </w:pPr>
      <w:r w:rsidRPr="00E17AAA">
        <w:rPr>
          <w:color w:val="000000"/>
        </w:rPr>
        <w:t>Carencia de una pedagogía pertinente e innovadora que facilite el tránsito hacia la sociedad  tecnológica y del conocimiento.</w:t>
      </w:r>
    </w:p>
    <w:p w:rsidR="00653660" w:rsidRPr="00CC5E0F" w:rsidRDefault="00E17AAA" w:rsidP="00653660">
      <w:pPr>
        <w:pStyle w:val="Prrafodelista"/>
        <w:numPr>
          <w:ilvl w:val="0"/>
          <w:numId w:val="4"/>
        </w:numPr>
        <w:jc w:val="both"/>
        <w:rPr>
          <w:color w:val="000000"/>
        </w:rPr>
      </w:pPr>
      <w:r w:rsidRPr="00E17AAA">
        <w:rPr>
          <w:color w:val="000000"/>
        </w:rPr>
        <w:t>Bajo desarrollo de capacidades en la comunidad educativa, particularmente docente, para el acceso y uso creativo de la información para su transformación en conocimiento.</w:t>
      </w:r>
    </w:p>
    <w:p w:rsidR="00653660" w:rsidRPr="00CC5E0F" w:rsidRDefault="00E17AAA" w:rsidP="00653660">
      <w:pPr>
        <w:pStyle w:val="Prrafodelista"/>
        <w:numPr>
          <w:ilvl w:val="0"/>
          <w:numId w:val="4"/>
        </w:numPr>
        <w:jc w:val="both"/>
        <w:rPr>
          <w:color w:val="000000"/>
        </w:rPr>
      </w:pPr>
      <w:r w:rsidRPr="00E17AAA">
        <w:rPr>
          <w:color w:val="000000"/>
        </w:rPr>
        <w:lastRenderedPageBreak/>
        <w:t>Falta de programas de acompañamiento académico en las ciencias, tecnología y medios educativos.</w:t>
      </w:r>
    </w:p>
    <w:p w:rsidR="00653660" w:rsidRPr="00CC5E0F" w:rsidRDefault="00E17AAA" w:rsidP="00653660">
      <w:pPr>
        <w:pStyle w:val="Prrafodelista"/>
        <w:numPr>
          <w:ilvl w:val="0"/>
          <w:numId w:val="4"/>
        </w:numPr>
        <w:jc w:val="both"/>
        <w:rPr>
          <w:szCs w:val="20"/>
          <w:lang w:eastAsia="es-ES_tradnl"/>
        </w:rPr>
      </w:pPr>
      <w:r w:rsidRPr="00E17AAA">
        <w:rPr>
          <w:szCs w:val="20"/>
          <w:lang w:eastAsia="es-ES_tradnl"/>
        </w:rPr>
        <w:t>Obsolescencia de los sistemas de información por cambios en la normatividad o procesos de las áreas.</w:t>
      </w:r>
    </w:p>
    <w:p w:rsidR="00653660" w:rsidRDefault="00653660" w:rsidP="00F56750">
      <w:pPr>
        <w:pStyle w:val="Prrafodelista"/>
        <w:jc w:val="both"/>
      </w:pPr>
    </w:p>
    <w:p w:rsidR="00DE38C1" w:rsidRPr="00FE0A1A" w:rsidRDefault="00E17AAA">
      <w:pPr>
        <w:jc w:val="both"/>
        <w:rPr>
          <w:rFonts w:ascii="Times New Roman" w:hAnsi="Times New Roman"/>
        </w:rPr>
      </w:pPr>
      <w:r w:rsidRPr="00E17AAA">
        <w:rPr>
          <w:rFonts w:ascii="Times New Roman" w:hAnsi="Times New Roman"/>
          <w:u w:val="single"/>
        </w:rPr>
        <w:t>Exclusión</w:t>
      </w:r>
      <w:r w:rsidR="00480392" w:rsidRPr="00480392">
        <w:rPr>
          <w:rFonts w:ascii="Times New Roman" w:hAnsi="Times New Roman"/>
        </w:rPr>
        <w:t>. Persisten en las instituciones educativas prácticas de discriminación y exclusión por razones de edad, género, etnia o cultura, de condición o de situación particular, por parte tanto del mismo proceso educativo como de actores particulares.</w:t>
      </w:r>
      <w:r w:rsidR="00B70BD5">
        <w:rPr>
          <w:rFonts w:ascii="Times New Roman" w:hAnsi="Times New Roman"/>
        </w:rPr>
        <w:t xml:space="preserve"> </w:t>
      </w:r>
      <w:r w:rsidR="00480392" w:rsidRPr="00480392">
        <w:rPr>
          <w:rFonts w:ascii="Times New Roman" w:hAnsi="Times New Roman"/>
        </w:rPr>
        <w:t>De acuerdo con la Encuesta de Calidad de Vida de 2007, en Bogotá 311.381 personas entre los 5 y los 17 años han sido discriminadas en la escuela, cifra que representa el 4,5% de la población en edad escolar</w:t>
      </w:r>
      <w:r w:rsidR="00F653A0">
        <w:rPr>
          <w:rFonts w:ascii="Times New Roman" w:hAnsi="Times New Roman"/>
        </w:rPr>
        <w:t>, porcentaje que se mantuvo en la Encuesta Multipropósito de 2011</w:t>
      </w:r>
      <w:r w:rsidR="00480392" w:rsidRPr="00480392">
        <w:rPr>
          <w:rFonts w:ascii="Times New Roman" w:hAnsi="Times New Roman"/>
        </w:rPr>
        <w:t xml:space="preserve">. Las razones más relevantes han sido el peso, la estatura, la  apariencia física o discapacidad (55,5%); creer que la persona es gay, lesbiana o bisexual (52,5%), y la pertenencia a algún grupo, tribu o cultura urbana (51,6%). Otra razón de discriminación ha sido el origen étnico, la cual representa el 34% de las personas que se sienten discriminadas. También se encuentran las razones por creencias religiosas (27,8%) y por ser hombre o mujer (17,0%). </w:t>
      </w:r>
      <w:r w:rsidR="00FE0A1A" w:rsidRPr="00E8694E">
        <w:rPr>
          <w:rFonts w:ascii="Times New Roman" w:hAnsi="Times New Roman"/>
          <w:bCs/>
        </w:rPr>
        <w:t xml:space="preserve">Aunque continúan siendo altos, entre 2007 y 2011 se redujeron algunos problemas como hostigamiento, racismo y homofobia pero se </w:t>
      </w:r>
      <w:r w:rsidR="00480392" w:rsidRPr="00E8694E">
        <w:rPr>
          <w:rFonts w:ascii="Times New Roman" w:hAnsi="Times New Roman"/>
        </w:rPr>
        <w:t>confirma la persistencia de situaciones</w:t>
      </w:r>
      <w:r w:rsidR="00480392" w:rsidRPr="00480392">
        <w:rPr>
          <w:rFonts w:ascii="Times New Roman" w:hAnsi="Times New Roman"/>
        </w:rPr>
        <w:t xml:space="preserve"> de desigualdad y exclusión con respecto a la garantía del derecho a la educación, al igual que de comportamientos discriminatorios en la escuela, lo cual afecta la inclusión, la equidad y la promoción y vivencia real de los derechos humanos.</w:t>
      </w:r>
      <w:r w:rsidR="00B70BD5">
        <w:rPr>
          <w:rFonts w:ascii="Times New Roman" w:hAnsi="Times New Roman"/>
        </w:rPr>
        <w:t xml:space="preserve"> </w:t>
      </w:r>
      <w:r w:rsidR="00480392" w:rsidRPr="00480392">
        <w:rPr>
          <w:rFonts w:ascii="Times New Roman" w:hAnsi="Times New Roman"/>
        </w:rPr>
        <w:t>Las causas directas de este problema son:</w:t>
      </w:r>
    </w:p>
    <w:p w:rsidR="000F16FA" w:rsidRPr="0023710D" w:rsidRDefault="00E17AAA" w:rsidP="000F16FA">
      <w:pPr>
        <w:pStyle w:val="Prrafodelista"/>
        <w:numPr>
          <w:ilvl w:val="0"/>
          <w:numId w:val="4"/>
        </w:numPr>
        <w:jc w:val="both"/>
      </w:pPr>
      <w:r w:rsidRPr="00E17AAA">
        <w:t>Comportamientos de estudiantes y profesores que reflejan costumbres, actitudes y valores contrarios a la diversidad.</w:t>
      </w:r>
      <w:r w:rsidRPr="00E17AAA">
        <w:rPr>
          <w:rStyle w:val="Refdenotaalpie"/>
        </w:rPr>
        <w:footnoteReference w:id="83"/>
      </w:r>
    </w:p>
    <w:p w:rsidR="000F16FA" w:rsidRPr="0023710D" w:rsidRDefault="00E17AAA" w:rsidP="000F16FA">
      <w:pPr>
        <w:pStyle w:val="Prrafodelista"/>
        <w:numPr>
          <w:ilvl w:val="0"/>
          <w:numId w:val="4"/>
        </w:numPr>
        <w:jc w:val="both"/>
      </w:pPr>
      <w:r w:rsidRPr="00E17AAA">
        <w:t>Limitaciones del sistema educativo oficial para ofrecer modelos pedagógicos adecuados a las condiciones particulares de ciertos grupos.</w:t>
      </w:r>
    </w:p>
    <w:p w:rsidR="000F16FA" w:rsidRPr="0023710D" w:rsidRDefault="00E17AAA" w:rsidP="000F16FA">
      <w:pPr>
        <w:pStyle w:val="Prrafodelista"/>
        <w:numPr>
          <w:ilvl w:val="0"/>
          <w:numId w:val="4"/>
        </w:numPr>
      </w:pPr>
      <w:r w:rsidRPr="00E17AAA">
        <w:t>Baja formación de los docentes en prácticas pedagógicas con enfoque diferencial.</w:t>
      </w:r>
    </w:p>
    <w:p w:rsidR="006F3F89" w:rsidRDefault="00E17AAA" w:rsidP="00EF79AA">
      <w:pPr>
        <w:pStyle w:val="Prrafodelista"/>
        <w:numPr>
          <w:ilvl w:val="0"/>
          <w:numId w:val="4"/>
        </w:numPr>
        <w:jc w:val="both"/>
      </w:pPr>
      <w:r w:rsidRPr="00E17AAA">
        <w:t>Dificultades de adaptación</w:t>
      </w:r>
      <w:r w:rsidR="006F3F89">
        <w:t xml:space="preserve"> en ciertos casos</w:t>
      </w:r>
      <w:r w:rsidRPr="00E17AAA">
        <w:t xml:space="preserve"> por parte de estudiantes pertenecientes a grupos discriminados.</w:t>
      </w:r>
    </w:p>
    <w:p w:rsidR="000F16FA" w:rsidRPr="0023710D" w:rsidRDefault="006F3F89" w:rsidP="006F3F89">
      <w:pPr>
        <w:pStyle w:val="Prrafodelista"/>
        <w:numPr>
          <w:ilvl w:val="0"/>
          <w:numId w:val="4"/>
        </w:numPr>
        <w:jc w:val="both"/>
      </w:pPr>
      <w:r>
        <w:t>E</w:t>
      </w:r>
      <w:r w:rsidRPr="006F3F89">
        <w:t>xigencias sociales a la escuela, en cuanto a rendimiento académico, modelos homogéneos de comportamientos, apariencia, prácticas, entre otros, que llevan a prácticas excluyentes, discriminatorias, que rechazan las diferencias</w:t>
      </w:r>
    </w:p>
    <w:p w:rsidR="002B6FD9" w:rsidRPr="00BA20B4" w:rsidRDefault="002B6FD9" w:rsidP="005A5B0C">
      <w:pPr>
        <w:jc w:val="both"/>
        <w:rPr>
          <w:rFonts w:ascii="Times New Roman" w:hAnsi="Times New Roman"/>
          <w:color w:val="000000"/>
        </w:rPr>
      </w:pPr>
    </w:p>
    <w:p w:rsidR="008E59EC" w:rsidRDefault="00E17AAA" w:rsidP="0023710D">
      <w:pPr>
        <w:jc w:val="both"/>
        <w:rPr>
          <w:rFonts w:ascii="Times New Roman" w:hAnsi="Times New Roman" w:cs="Lucida Sans"/>
          <w:color w:val="000000"/>
          <w:szCs w:val="17"/>
        </w:rPr>
      </w:pPr>
      <w:r w:rsidRPr="00E17AAA">
        <w:rPr>
          <w:rFonts w:ascii="Times New Roman" w:hAnsi="Times New Roman"/>
          <w:color w:val="000000"/>
          <w:u w:val="single"/>
        </w:rPr>
        <w:t>Docentes</w:t>
      </w:r>
      <w:r w:rsidR="00CE27A3" w:rsidRPr="00BA20B4">
        <w:rPr>
          <w:rFonts w:ascii="Times New Roman" w:hAnsi="Times New Roman"/>
          <w:color w:val="000000"/>
        </w:rPr>
        <w:t xml:space="preserve">. </w:t>
      </w:r>
      <w:r w:rsidR="00722FBA" w:rsidRPr="00BA20B4">
        <w:rPr>
          <w:rFonts w:ascii="Times New Roman" w:hAnsi="Times New Roman" w:cs="Arial"/>
        </w:rPr>
        <w:t>La planta docente de los colegios administrados por la Secretaría de Educación, al 3</w:t>
      </w:r>
      <w:r w:rsidR="00EF79AA">
        <w:rPr>
          <w:rFonts w:ascii="Times New Roman" w:hAnsi="Times New Roman" w:cs="Arial"/>
        </w:rPr>
        <w:t>0 de junio de 2012, estaba</w:t>
      </w:r>
      <w:r w:rsidR="00722FBA" w:rsidRPr="00BA20B4">
        <w:rPr>
          <w:rFonts w:ascii="Times New Roman" w:hAnsi="Times New Roman" w:cs="Arial"/>
        </w:rPr>
        <w:t xml:space="preserve"> compuesta por 32.035 personas entre docentes, coordinadores, directores, rectores y supervisores. De los 30.212 docentes el 7% son provisionales, que corresponden a 2.260 docentes; en el caso de los directivos docentes no </w:t>
      </w:r>
      <w:r w:rsidR="00722FBA" w:rsidRPr="00BA20B4">
        <w:rPr>
          <w:rFonts w:ascii="Times New Roman" w:hAnsi="Times New Roman" w:cs="Arial"/>
        </w:rPr>
        <w:lastRenderedPageBreak/>
        <w:t>hay en cargo provisional</w:t>
      </w:r>
      <w:r w:rsidR="00722FBA" w:rsidRPr="00BA20B4">
        <w:rPr>
          <w:rStyle w:val="Refdenotaalpie"/>
          <w:rFonts w:ascii="Times New Roman" w:hAnsi="Times New Roman" w:cs="Arial"/>
        </w:rPr>
        <w:footnoteReference w:id="84"/>
      </w:r>
      <w:r w:rsidR="00722FBA" w:rsidRPr="00BA20B4">
        <w:rPr>
          <w:rFonts w:ascii="Times New Roman" w:hAnsi="Times New Roman" w:cs="Arial"/>
        </w:rPr>
        <w:t xml:space="preserve">. </w:t>
      </w:r>
      <w:r w:rsidR="00486D62">
        <w:rPr>
          <w:rFonts w:ascii="Times New Roman" w:hAnsi="Times New Roman"/>
          <w:color w:val="000000"/>
        </w:rPr>
        <w:t xml:space="preserve">Aunque la situación ha venido mejorando, </w:t>
      </w:r>
      <w:r w:rsidR="000612AE">
        <w:rPr>
          <w:rFonts w:ascii="Times New Roman" w:hAnsi="Times New Roman"/>
          <w:color w:val="000000"/>
        </w:rPr>
        <w:t>los docentes aún tienen</w:t>
      </w:r>
      <w:r w:rsidR="00CE27A3" w:rsidRPr="00BA20B4">
        <w:rPr>
          <w:rFonts w:ascii="Times New Roman" w:hAnsi="Times New Roman"/>
          <w:color w:val="000000"/>
        </w:rPr>
        <w:t xml:space="preserve"> deficientes condiciones laborales, motivacionales </w:t>
      </w:r>
      <w:r w:rsidR="000612AE">
        <w:rPr>
          <w:rFonts w:ascii="Times New Roman" w:hAnsi="Times New Roman"/>
          <w:color w:val="000000"/>
        </w:rPr>
        <w:t>y</w:t>
      </w:r>
      <w:r w:rsidR="00CE27A3" w:rsidRPr="00BA20B4">
        <w:rPr>
          <w:rFonts w:ascii="Times New Roman" w:hAnsi="Times New Roman"/>
          <w:color w:val="000000"/>
        </w:rPr>
        <w:t xml:space="preserve"> enfoques</w:t>
      </w:r>
      <w:r w:rsidR="002650B0">
        <w:rPr>
          <w:rFonts w:ascii="Times New Roman" w:hAnsi="Times New Roman"/>
          <w:color w:val="000000"/>
        </w:rPr>
        <w:t xml:space="preserve"> pedagógicos tradicionales, que dificultan </w:t>
      </w:r>
      <w:r w:rsidR="00EF79AA">
        <w:rPr>
          <w:rFonts w:ascii="Times New Roman" w:hAnsi="Times New Roman"/>
          <w:color w:val="000000"/>
        </w:rPr>
        <w:t>la capacidad de respuesta a</w:t>
      </w:r>
      <w:r w:rsidR="00CE27A3" w:rsidRPr="00BA20B4">
        <w:rPr>
          <w:rFonts w:ascii="Times New Roman" w:hAnsi="Times New Roman"/>
          <w:color w:val="000000"/>
        </w:rPr>
        <w:t xml:space="preserve"> las exigencias que demanda la escuela a través de la implementación de proyectos pedagógicos que </w:t>
      </w:r>
      <w:r w:rsidR="002D5241">
        <w:rPr>
          <w:rFonts w:ascii="Times New Roman" w:hAnsi="Times New Roman"/>
          <w:color w:val="000000"/>
        </w:rPr>
        <w:t>satisfagan</w:t>
      </w:r>
      <w:r w:rsidR="00CE27A3" w:rsidRPr="00BA20B4">
        <w:rPr>
          <w:rFonts w:ascii="Times New Roman" w:hAnsi="Times New Roman"/>
          <w:color w:val="000000"/>
        </w:rPr>
        <w:t xml:space="preserve"> las identidades especificas de los estudiantes y de la sociedad</w:t>
      </w:r>
      <w:r w:rsidR="000612AE">
        <w:rPr>
          <w:rFonts w:ascii="Times New Roman" w:hAnsi="Times New Roman"/>
          <w:color w:val="000000"/>
        </w:rPr>
        <w:t xml:space="preserve"> actual</w:t>
      </w:r>
      <w:r w:rsidR="00CE27A3" w:rsidRPr="00BA20B4">
        <w:rPr>
          <w:rFonts w:ascii="Times New Roman" w:hAnsi="Times New Roman"/>
          <w:color w:val="000000"/>
        </w:rPr>
        <w:t xml:space="preserve">. </w:t>
      </w:r>
      <w:r w:rsidR="00CE27A3" w:rsidRPr="00BA20B4">
        <w:rPr>
          <w:rFonts w:ascii="Times New Roman" w:hAnsi="Times New Roman" w:cs="Lucida Sans"/>
          <w:color w:val="000000"/>
          <w:szCs w:val="17"/>
        </w:rPr>
        <w:t>Las causas directas de los problemas del personal docente son</w:t>
      </w:r>
      <w:r w:rsidR="000C5B92">
        <w:rPr>
          <w:rStyle w:val="Refdenotaalpie"/>
          <w:rFonts w:ascii="Times New Roman" w:hAnsi="Times New Roman" w:cs="Lucida Sans"/>
          <w:color w:val="000000"/>
          <w:szCs w:val="17"/>
        </w:rPr>
        <w:footnoteReference w:id="85"/>
      </w:r>
      <w:r w:rsidR="00CE27A3" w:rsidRPr="00BA20B4">
        <w:rPr>
          <w:rFonts w:ascii="Times New Roman" w:hAnsi="Times New Roman" w:cs="Lucida Sans"/>
          <w:color w:val="000000"/>
          <w:szCs w:val="17"/>
        </w:rPr>
        <w:t>:</w:t>
      </w:r>
    </w:p>
    <w:p w:rsidR="0023710D" w:rsidRDefault="002650B0" w:rsidP="00E7060B">
      <w:pPr>
        <w:pStyle w:val="Prrafodelista"/>
        <w:numPr>
          <w:ilvl w:val="0"/>
          <w:numId w:val="4"/>
        </w:numPr>
        <w:jc w:val="both"/>
        <w:rPr>
          <w:rFonts w:cs="Lucida Sans"/>
          <w:color w:val="000000"/>
          <w:szCs w:val="17"/>
        </w:rPr>
      </w:pPr>
      <w:r>
        <w:rPr>
          <w:rFonts w:cs="Lucida Sans"/>
          <w:color w:val="000000"/>
          <w:szCs w:val="17"/>
        </w:rPr>
        <w:t>Deficiencias en los programas de formación inicial de maestros e insuficientes</w:t>
      </w:r>
      <w:r w:rsidR="00E7060B" w:rsidRPr="00E7060B">
        <w:rPr>
          <w:rFonts w:cs="Lucida Sans"/>
          <w:color w:val="000000"/>
          <w:szCs w:val="17"/>
        </w:rPr>
        <w:t xml:space="preserve"> procesos </w:t>
      </w:r>
      <w:r>
        <w:rPr>
          <w:rFonts w:cs="Lucida Sans"/>
          <w:color w:val="000000"/>
          <w:szCs w:val="17"/>
        </w:rPr>
        <w:t xml:space="preserve">de formación </w:t>
      </w:r>
      <w:r w:rsidR="00E7060B" w:rsidRPr="00E7060B">
        <w:rPr>
          <w:rFonts w:cs="Lucida Sans"/>
          <w:color w:val="000000"/>
          <w:szCs w:val="17"/>
        </w:rPr>
        <w:t>permanentes, lo cual a su vez se debe a la falta de incentivos económicos y al desinterés por continuar la formación.</w:t>
      </w:r>
    </w:p>
    <w:p w:rsidR="00C11B8F" w:rsidRPr="002D5241" w:rsidRDefault="00C11B8F" w:rsidP="00E7060B">
      <w:pPr>
        <w:pStyle w:val="Prrafodelista"/>
        <w:numPr>
          <w:ilvl w:val="0"/>
          <w:numId w:val="4"/>
        </w:numPr>
        <w:jc w:val="both"/>
        <w:rPr>
          <w:rFonts w:cs="Lucida Sans"/>
          <w:szCs w:val="17"/>
        </w:rPr>
      </w:pPr>
      <w:r w:rsidRPr="002D5241">
        <w:rPr>
          <w:rFonts w:cs="Lucida Sans"/>
          <w:szCs w:val="17"/>
        </w:rPr>
        <w:t>Carencia de instituciones de educación superior con la capacidad de actualización e innovación pedagógica necesaria para la formación de docentes capaces de generar procesos pedagógicos eficaces, acorde con las condiciones contextuales de los jóvenes y el conjunto de la sociedad y la cultura actual.</w:t>
      </w:r>
    </w:p>
    <w:p w:rsidR="00A92C1D" w:rsidRDefault="008D4F43" w:rsidP="00E7060B">
      <w:pPr>
        <w:pStyle w:val="Prrafodelista"/>
        <w:numPr>
          <w:ilvl w:val="0"/>
          <w:numId w:val="4"/>
        </w:numPr>
        <w:jc w:val="both"/>
        <w:rPr>
          <w:rFonts w:cs="Lucida Sans"/>
          <w:color w:val="000000"/>
          <w:szCs w:val="17"/>
        </w:rPr>
      </w:pPr>
      <w:r>
        <w:rPr>
          <w:rFonts w:cs="Lucida Sans"/>
          <w:color w:val="000000"/>
          <w:szCs w:val="17"/>
        </w:rPr>
        <w:t>P</w:t>
      </w:r>
      <w:r w:rsidR="00A92C1D">
        <w:rPr>
          <w:rFonts w:cs="Lucida Sans"/>
          <w:color w:val="000000"/>
          <w:szCs w:val="17"/>
        </w:rPr>
        <w:t>oco estímulo económico y social a la profesión.</w:t>
      </w:r>
    </w:p>
    <w:p w:rsidR="00A92C1D" w:rsidRDefault="00A92C1D" w:rsidP="00E7060B">
      <w:pPr>
        <w:pStyle w:val="Prrafodelista"/>
        <w:numPr>
          <w:ilvl w:val="0"/>
          <w:numId w:val="4"/>
        </w:numPr>
        <w:jc w:val="both"/>
        <w:rPr>
          <w:rFonts w:cs="Lucida Sans"/>
          <w:color w:val="000000"/>
          <w:szCs w:val="17"/>
        </w:rPr>
      </w:pPr>
      <w:r>
        <w:rPr>
          <w:rFonts w:cs="Lucida Sans"/>
          <w:color w:val="000000"/>
          <w:szCs w:val="17"/>
        </w:rPr>
        <w:t>Desmotivación para el cumplimiento de sus tareas por los bajos niveles de ingreso y otros incentivos, lo cual a su vez genera la necesidad de buscar fuentes alternativas que afectan la calidad de vida, el rendimiento y el compromiso.</w:t>
      </w:r>
    </w:p>
    <w:p w:rsidR="00A92C1D" w:rsidRDefault="00A92C1D" w:rsidP="00E7060B">
      <w:pPr>
        <w:pStyle w:val="Prrafodelista"/>
        <w:numPr>
          <w:ilvl w:val="0"/>
          <w:numId w:val="4"/>
        </w:numPr>
        <w:jc w:val="both"/>
        <w:rPr>
          <w:rFonts w:cs="Lucida Sans"/>
          <w:color w:val="000000"/>
          <w:szCs w:val="17"/>
        </w:rPr>
      </w:pPr>
      <w:r>
        <w:rPr>
          <w:rFonts w:cs="Lucida Sans"/>
          <w:color w:val="000000"/>
          <w:szCs w:val="17"/>
        </w:rPr>
        <w:t xml:space="preserve">Desmotivación o limitaciones para introducir enfoques pedagógicos innovadores por número elevado de </w:t>
      </w:r>
      <w:r w:rsidR="000612AE">
        <w:rPr>
          <w:rFonts w:cs="Lucida Sans"/>
          <w:color w:val="000000"/>
          <w:szCs w:val="17"/>
        </w:rPr>
        <w:t>estudiantes</w:t>
      </w:r>
      <w:r>
        <w:rPr>
          <w:rFonts w:cs="Lucida Sans"/>
          <w:color w:val="000000"/>
          <w:szCs w:val="17"/>
        </w:rPr>
        <w:t xml:space="preserve"> o inflexibilidades en los programas, derivados de normas nacionales.</w:t>
      </w:r>
    </w:p>
    <w:p w:rsidR="00DE38C1" w:rsidRDefault="00A92C1D">
      <w:pPr>
        <w:pStyle w:val="Prrafodelista"/>
        <w:numPr>
          <w:ilvl w:val="0"/>
          <w:numId w:val="4"/>
        </w:numPr>
        <w:jc w:val="both"/>
        <w:rPr>
          <w:rFonts w:cs="Lucida Sans"/>
          <w:color w:val="000000"/>
          <w:szCs w:val="17"/>
        </w:rPr>
      </w:pPr>
      <w:r>
        <w:rPr>
          <w:rFonts w:cs="Lucida Sans"/>
          <w:color w:val="000000"/>
          <w:szCs w:val="17"/>
        </w:rPr>
        <w:t>Presencia de una tasa elevada de enfermedades por carencia de adecuados servicios de salud.</w:t>
      </w:r>
    </w:p>
    <w:p w:rsidR="005A5B0C" w:rsidRDefault="005A5B0C" w:rsidP="005A5B0C">
      <w:pPr>
        <w:jc w:val="both"/>
        <w:rPr>
          <w:rFonts w:ascii="Times New Roman" w:hAnsi="Times New Roman"/>
        </w:rPr>
      </w:pPr>
    </w:p>
    <w:p w:rsidR="00446217" w:rsidRDefault="001A4D97" w:rsidP="005A5B0C">
      <w:pPr>
        <w:jc w:val="both"/>
        <w:rPr>
          <w:rFonts w:ascii="Times New Roman" w:hAnsi="Times New Roman"/>
        </w:rPr>
      </w:pPr>
      <w:r w:rsidRPr="001A4D97">
        <w:rPr>
          <w:rFonts w:ascii="Times New Roman" w:hAnsi="Times New Roman"/>
          <w:u w:val="single"/>
        </w:rPr>
        <w:t>Restricciones de la política y normas nacionales</w:t>
      </w:r>
      <w:r w:rsidRPr="00541FBC">
        <w:rPr>
          <w:rFonts w:ascii="Times New Roman" w:hAnsi="Times New Roman"/>
        </w:rPr>
        <w:t xml:space="preserve">. </w:t>
      </w:r>
      <w:r w:rsidR="00446217" w:rsidRPr="001A4D97">
        <w:rPr>
          <w:rFonts w:ascii="Times New Roman" w:hAnsi="Times New Roman"/>
        </w:rPr>
        <w:t>Las políticas y normas naci</w:t>
      </w:r>
      <w:r w:rsidR="008F5DDF">
        <w:rPr>
          <w:rFonts w:ascii="Times New Roman" w:hAnsi="Times New Roman"/>
        </w:rPr>
        <w:t>onales establecen parámetros en relación con el</w:t>
      </w:r>
      <w:r w:rsidR="00446217" w:rsidRPr="001A4D97">
        <w:rPr>
          <w:rFonts w:ascii="Times New Roman" w:hAnsi="Times New Roman"/>
        </w:rPr>
        <w:t xml:space="preserve"> número de estudiantes por docente, duración de la jornada, dedicación del trabajo de los docentes al aula y otros aspectos, que generan restricciones para la gestión autónoma por parte de la Secretaría de Educación de Bogotá y de sus instituciones educativas y para el mejoramiento de la calidad. Muchas de las medidas nacionales tienen un origen y una justificación en la necesidad de reorganizar y controlar la prestación del servicio pero su aplicación generalizada</w:t>
      </w:r>
      <w:r w:rsidR="004C26F2">
        <w:rPr>
          <w:rFonts w:ascii="Times New Roman" w:hAnsi="Times New Roman"/>
        </w:rPr>
        <w:t xml:space="preserve"> y homogénea</w:t>
      </w:r>
      <w:r w:rsidR="00446217" w:rsidRPr="001A4D97">
        <w:rPr>
          <w:rFonts w:ascii="Times New Roman" w:hAnsi="Times New Roman"/>
        </w:rPr>
        <w:t xml:space="preserve"> conduce a inflexibilidades y limitaciones serias para el cumplimiento de metas de calidad en la prestación del servicio en la ciudad. De otra parte, la existencia de dos regímenes docentes genera dificultad</w:t>
      </w:r>
      <w:r w:rsidR="00E56A5F">
        <w:rPr>
          <w:rFonts w:ascii="Times New Roman" w:hAnsi="Times New Roman"/>
        </w:rPr>
        <w:t>es en la gestión de los maestros</w:t>
      </w:r>
      <w:r w:rsidR="00446217" w:rsidRPr="001A4D97">
        <w:rPr>
          <w:rFonts w:ascii="Times New Roman" w:hAnsi="Times New Roman"/>
        </w:rPr>
        <w:t xml:space="preserve"> dado que tienen sistemas diferentes de evaluación</w:t>
      </w:r>
      <w:r w:rsidR="004932E0" w:rsidRPr="001A4D97">
        <w:rPr>
          <w:rFonts w:ascii="Times New Roman" w:hAnsi="Times New Roman"/>
        </w:rPr>
        <w:t>, al interior de la misma institución; como consecuencia, aunque se pueden adelantar procesos internos de evaluación y mejoramiento con los docentes del nuevo régimen, no existen mecanismos para realizar esta actividad con los del esquema anterior. Adicionalmente, se presentan diferencias inconvenientes en aspectos como capacitación, estímulos y promoción.</w:t>
      </w:r>
    </w:p>
    <w:p w:rsidR="005A5B0C" w:rsidRPr="00666BB4" w:rsidRDefault="009C13D4" w:rsidP="009D3797">
      <w:pPr>
        <w:pStyle w:val="Ttulo3"/>
        <w:rPr>
          <w:rFonts w:ascii="Times New Roman" w:hAnsi="Times New Roman"/>
          <w:i/>
        </w:rPr>
      </w:pPr>
      <w:bookmarkStart w:id="23" w:name="_Toc362358044"/>
      <w:r>
        <w:rPr>
          <w:rFonts w:ascii="Times New Roman" w:hAnsi="Times New Roman"/>
          <w:i/>
        </w:rPr>
        <w:lastRenderedPageBreak/>
        <w:t>2.4</w:t>
      </w:r>
      <w:r w:rsidR="009D3797" w:rsidRPr="00666BB4">
        <w:rPr>
          <w:rFonts w:ascii="Times New Roman" w:hAnsi="Times New Roman"/>
          <w:i/>
        </w:rPr>
        <w:t xml:space="preserve">.3. </w:t>
      </w:r>
      <w:r w:rsidR="0046006B" w:rsidRPr="00666BB4">
        <w:rPr>
          <w:rFonts w:ascii="Times New Roman" w:hAnsi="Times New Roman"/>
          <w:i/>
        </w:rPr>
        <w:t>Limitaciones en la g</w:t>
      </w:r>
      <w:r w:rsidR="005A5B0C" w:rsidRPr="00666BB4">
        <w:rPr>
          <w:rFonts w:ascii="Times New Roman" w:hAnsi="Times New Roman"/>
          <w:i/>
        </w:rPr>
        <w:t>estión pública</w:t>
      </w:r>
      <w:bookmarkEnd w:id="23"/>
    </w:p>
    <w:p w:rsidR="00022E0A" w:rsidRDefault="00022E0A" w:rsidP="005A5B0C">
      <w:pPr>
        <w:jc w:val="both"/>
        <w:rPr>
          <w:rFonts w:ascii="Times New Roman" w:hAnsi="Times New Roman"/>
          <w:color w:val="000000"/>
        </w:rPr>
      </w:pPr>
    </w:p>
    <w:p w:rsidR="00022E0A" w:rsidRPr="00BA20B4" w:rsidRDefault="00022E0A" w:rsidP="00022E0A">
      <w:pPr>
        <w:jc w:val="both"/>
        <w:rPr>
          <w:rFonts w:ascii="Times New Roman" w:hAnsi="Times New Roman"/>
        </w:rPr>
      </w:pPr>
      <w:r>
        <w:rPr>
          <w:rFonts w:ascii="Times New Roman" w:hAnsi="Times New Roman"/>
          <w:color w:val="000000"/>
        </w:rPr>
        <w:t>En materia de gestión se han identificado un conjunto de factores que limitan el desempeño de la secretaría de educación y del sector.</w:t>
      </w:r>
    </w:p>
    <w:p w:rsidR="00022E0A" w:rsidRPr="00EA6C44" w:rsidRDefault="00022E0A" w:rsidP="00022E0A">
      <w:pPr>
        <w:pStyle w:val="Prrafodelista"/>
        <w:numPr>
          <w:ilvl w:val="0"/>
          <w:numId w:val="4"/>
        </w:numPr>
        <w:jc w:val="both"/>
      </w:pPr>
      <w:r w:rsidRPr="00E17AAA">
        <w:t>Carencia de un modelo de gestión orientado a resultados</w:t>
      </w:r>
      <w:r>
        <w:t xml:space="preserve"> suficientemente desarrollado.</w:t>
      </w:r>
    </w:p>
    <w:p w:rsidR="00022E0A" w:rsidRDefault="00022E0A" w:rsidP="00022E0A">
      <w:pPr>
        <w:pStyle w:val="Prrafodelista"/>
        <w:numPr>
          <w:ilvl w:val="0"/>
          <w:numId w:val="4"/>
        </w:numPr>
        <w:jc w:val="both"/>
      </w:pPr>
      <w:r w:rsidRPr="00E17AAA">
        <w:t>Excesiva concentración de funciones en las dependencias centrales.</w:t>
      </w:r>
    </w:p>
    <w:p w:rsidR="00022E0A" w:rsidRDefault="00022E0A" w:rsidP="00022E0A">
      <w:pPr>
        <w:pStyle w:val="Prrafodelista"/>
        <w:numPr>
          <w:ilvl w:val="0"/>
          <w:numId w:val="4"/>
        </w:numPr>
        <w:jc w:val="both"/>
      </w:pPr>
      <w:r>
        <w:t>Fragmentación en los procesos y procedimientos y duplicidad de funciones.</w:t>
      </w:r>
    </w:p>
    <w:p w:rsidR="00022E0A" w:rsidRDefault="00022E0A" w:rsidP="00022E0A">
      <w:pPr>
        <w:pStyle w:val="Prrafodelista"/>
        <w:numPr>
          <w:ilvl w:val="0"/>
          <w:numId w:val="4"/>
        </w:numPr>
        <w:jc w:val="both"/>
      </w:pPr>
      <w:r>
        <w:t>Debilidad en la gestión del talento humano.</w:t>
      </w:r>
    </w:p>
    <w:p w:rsidR="0085169B" w:rsidRDefault="00022E0A" w:rsidP="00022E0A">
      <w:pPr>
        <w:pStyle w:val="Prrafodelista"/>
        <w:numPr>
          <w:ilvl w:val="0"/>
          <w:numId w:val="4"/>
        </w:numPr>
        <w:jc w:val="both"/>
      </w:pPr>
      <w:r>
        <w:t>Carencia de sistemas integrados de información.</w:t>
      </w:r>
    </w:p>
    <w:p w:rsidR="00022E0A" w:rsidRPr="00EA6C44" w:rsidRDefault="0085169B" w:rsidP="00022E0A">
      <w:pPr>
        <w:pStyle w:val="Prrafodelista"/>
        <w:numPr>
          <w:ilvl w:val="0"/>
          <w:numId w:val="4"/>
        </w:numPr>
        <w:jc w:val="both"/>
      </w:pPr>
      <w:r>
        <w:t>Equipos locales disminuidos (supervisión, inspección y vigilancia, jurídicos, etc.) y dificultades para suplir oportunamente las vacantes</w:t>
      </w:r>
    </w:p>
    <w:p w:rsidR="005A5B0C" w:rsidRDefault="005A5B0C" w:rsidP="005A5B0C">
      <w:pPr>
        <w:jc w:val="both"/>
        <w:rPr>
          <w:rFonts w:ascii="Times New Roman" w:hAnsi="Times New Roman"/>
          <w:color w:val="000000"/>
        </w:rPr>
      </w:pPr>
    </w:p>
    <w:p w:rsidR="00226DB7" w:rsidRPr="00A92C1D" w:rsidRDefault="00226DB7" w:rsidP="00226DB7">
      <w:pPr>
        <w:jc w:val="both"/>
        <w:rPr>
          <w:rFonts w:ascii="Times New Roman" w:hAnsi="Times New Roman"/>
          <w:color w:val="000000"/>
        </w:rPr>
      </w:pPr>
      <w:r w:rsidRPr="00A92C1D">
        <w:rPr>
          <w:rFonts w:ascii="Times New Roman" w:hAnsi="Times New Roman"/>
          <w:color w:val="000000"/>
        </w:rPr>
        <w:t xml:space="preserve">La gestión de la SED actualmente se caracteriza por una </w:t>
      </w:r>
      <w:r w:rsidR="00E17AAA" w:rsidRPr="00E17AAA">
        <w:rPr>
          <w:rFonts w:ascii="Times New Roman" w:hAnsi="Times New Roman"/>
          <w:color w:val="000000"/>
        </w:rPr>
        <w:t>estructura altamente concentrada</w:t>
      </w:r>
      <w:r w:rsidRPr="00A92C1D">
        <w:rPr>
          <w:rFonts w:ascii="Times New Roman" w:hAnsi="Times New Roman"/>
          <w:color w:val="000000"/>
        </w:rPr>
        <w:t xml:space="preserve"> en el nivel central de la cual dependen 20 direcciones </w:t>
      </w:r>
      <w:r w:rsidR="00E17AAA" w:rsidRPr="00E17AAA">
        <w:rPr>
          <w:rFonts w:ascii="Times New Roman" w:hAnsi="Times New Roman"/>
          <w:color w:val="000000"/>
        </w:rPr>
        <w:t>locales de educación</w:t>
      </w:r>
      <w:r w:rsidR="00BD760F">
        <w:rPr>
          <w:rFonts w:ascii="Times New Roman" w:hAnsi="Times New Roman"/>
          <w:color w:val="000000"/>
        </w:rPr>
        <w:t xml:space="preserve">, </w:t>
      </w:r>
      <w:r w:rsidR="00E17AAA" w:rsidRPr="00E17AAA">
        <w:rPr>
          <w:rFonts w:ascii="Times New Roman" w:hAnsi="Times New Roman"/>
          <w:color w:val="000000"/>
        </w:rPr>
        <w:t>359 colegios distritales y 702 sedes. La planta se acerca a los 32 mil docentes y 2.480 funcionarios administrativos, de los cuales 1.718 laboran en los colegios y localidades, mientras 762 operan a nivel central; adicionalmente, se cuenta con unos 1.600 contratistas por prestación de servicios, quienes apoyan labores asistenciales, técnicas y profesionales según el caso en los tres niveles de la entidad y con 8.000 personas vinculadas por outsourcing que prestan los servicios de aseo y vigilancia.</w:t>
      </w:r>
    </w:p>
    <w:p w:rsidR="00226DB7" w:rsidRPr="00A92C1D" w:rsidRDefault="00226DB7" w:rsidP="00226DB7">
      <w:pPr>
        <w:jc w:val="both"/>
        <w:rPr>
          <w:rFonts w:ascii="Times New Roman" w:hAnsi="Times New Roman"/>
          <w:color w:val="000000"/>
        </w:rPr>
      </w:pPr>
    </w:p>
    <w:p w:rsidR="003A09E2" w:rsidRPr="00A92C1D" w:rsidRDefault="00E17AAA" w:rsidP="003A09E2">
      <w:pPr>
        <w:jc w:val="both"/>
        <w:rPr>
          <w:rFonts w:ascii="Times New Roman" w:hAnsi="Times New Roman"/>
          <w:color w:val="000000"/>
        </w:rPr>
      </w:pPr>
      <w:r w:rsidRPr="00E17AAA">
        <w:rPr>
          <w:rFonts w:ascii="Times New Roman" w:hAnsi="Times New Roman"/>
          <w:color w:val="000000"/>
        </w:rPr>
        <w:t>La gestión implica el desarrollo de innumerables trámites</w:t>
      </w:r>
      <w:r w:rsidR="00226DB7" w:rsidRPr="00A92C1D">
        <w:rPr>
          <w:rFonts w:ascii="Times New Roman" w:hAnsi="Times New Roman"/>
          <w:color w:val="000000"/>
        </w:rPr>
        <w:t>, la mayoría de los cuales se efectúan en el nivel central: anualmente deben realizarse 66 mil novedades en la planta docente, 4 mil en la de administrativos, 14.700 trámites de escal</w:t>
      </w:r>
      <w:r w:rsidRPr="00E17AAA">
        <w:rPr>
          <w:rFonts w:ascii="Times New Roman" w:hAnsi="Times New Roman"/>
          <w:color w:val="000000"/>
        </w:rPr>
        <w:t>afón, 180 nóminas y 12.600 solicitudes correspondientes a la carrera docente, 390 mil atenciones en ventanilla en servicio al ciudadano, cerca de 2.000 contratos que implican la realización de 350 audiencias con los posibles proveedores y 10 mil respuestas de aclaraciones a los mismos, entre muc</w:t>
      </w:r>
      <w:r w:rsidR="000204C9">
        <w:rPr>
          <w:rFonts w:ascii="Times New Roman" w:hAnsi="Times New Roman"/>
          <w:color w:val="000000"/>
        </w:rPr>
        <w:t>hos trámites más, dentro de los cuales se destacan por su magnitud los relativos a la función de inspección y vigilancia.</w:t>
      </w:r>
      <w:r w:rsidR="00B70BD5">
        <w:rPr>
          <w:rFonts w:ascii="Times New Roman" w:hAnsi="Times New Roman"/>
          <w:color w:val="000000"/>
        </w:rPr>
        <w:t xml:space="preserve"> </w:t>
      </w:r>
      <w:r w:rsidR="003A09E2" w:rsidRPr="00E17AAA">
        <w:rPr>
          <w:rFonts w:ascii="Times New Roman" w:hAnsi="Times New Roman"/>
          <w:color w:val="000000"/>
        </w:rPr>
        <w:t>Actualmente la SED tien</w:t>
      </w:r>
      <w:r w:rsidR="0038338C">
        <w:rPr>
          <w:rFonts w:ascii="Times New Roman" w:hAnsi="Times New Roman"/>
          <w:color w:val="000000"/>
        </w:rPr>
        <w:t>e documentados 19 procesos y 295</w:t>
      </w:r>
      <w:r w:rsidR="003A09E2" w:rsidRPr="00E17AAA">
        <w:rPr>
          <w:rFonts w:ascii="Times New Roman" w:hAnsi="Times New Roman"/>
          <w:color w:val="000000"/>
        </w:rPr>
        <w:t xml:space="preserve"> procedimientos</w:t>
      </w:r>
      <w:r w:rsidR="003A09E2" w:rsidRPr="00A92C1D">
        <w:rPr>
          <w:rFonts w:ascii="Times New Roman" w:hAnsi="Times New Roman"/>
          <w:color w:val="000000"/>
        </w:rPr>
        <w:t>, que sin embargo no han sido apropiados en su totalidad por la entidad, lo cual se evidencia</w:t>
      </w:r>
      <w:r w:rsidR="003A09E2" w:rsidRPr="00E17AAA">
        <w:rPr>
          <w:rFonts w:ascii="Times New Roman" w:hAnsi="Times New Roman"/>
          <w:color w:val="000000"/>
        </w:rPr>
        <w:t xml:space="preserve"> en la independencia y fragmentación.</w:t>
      </w:r>
    </w:p>
    <w:p w:rsidR="00226DB7" w:rsidRPr="00A92C1D" w:rsidRDefault="00E17AAA" w:rsidP="00226DB7">
      <w:pPr>
        <w:jc w:val="both"/>
        <w:rPr>
          <w:rFonts w:ascii="Times New Roman" w:hAnsi="Times New Roman"/>
          <w:color w:val="000000"/>
        </w:rPr>
      </w:pP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p>
    <w:p w:rsidR="00F07BD3" w:rsidRDefault="00E17AAA" w:rsidP="00226DB7">
      <w:pPr>
        <w:jc w:val="both"/>
        <w:rPr>
          <w:rFonts w:ascii="Times New Roman" w:hAnsi="Times New Roman"/>
          <w:color w:val="000000"/>
        </w:rPr>
      </w:pPr>
      <w:r w:rsidRPr="00E17AAA">
        <w:rPr>
          <w:rFonts w:ascii="Times New Roman" w:hAnsi="Times New Roman"/>
          <w:color w:val="000000"/>
        </w:rPr>
        <w:t>La concentración de trámites y actividades en el nivel central hace que la gestión sea lenta</w:t>
      </w:r>
      <w:r w:rsidR="00226DB7" w:rsidRPr="00A92C1D">
        <w:rPr>
          <w:rFonts w:ascii="Times New Roman" w:hAnsi="Times New Roman"/>
          <w:color w:val="000000"/>
        </w:rPr>
        <w:t>, impone una distancia y, muchas veces</w:t>
      </w:r>
      <w:r w:rsidR="00CA3BC5">
        <w:rPr>
          <w:rFonts w:ascii="Times New Roman" w:hAnsi="Times New Roman"/>
          <w:color w:val="000000"/>
        </w:rPr>
        <w:t>,</w:t>
      </w:r>
      <w:r w:rsidR="00B70BD5">
        <w:rPr>
          <w:rFonts w:ascii="Times New Roman" w:hAnsi="Times New Roman"/>
          <w:color w:val="000000"/>
        </w:rPr>
        <w:t xml:space="preserve"> </w:t>
      </w:r>
      <w:r w:rsidR="00BD760F">
        <w:rPr>
          <w:rFonts w:ascii="Times New Roman" w:hAnsi="Times New Roman"/>
          <w:color w:val="000000"/>
        </w:rPr>
        <w:t xml:space="preserve">genera </w:t>
      </w:r>
      <w:r w:rsidR="00137682">
        <w:rPr>
          <w:rFonts w:ascii="Times New Roman" w:hAnsi="Times New Roman"/>
          <w:color w:val="000000"/>
        </w:rPr>
        <w:t>dificultades</w:t>
      </w:r>
      <w:r w:rsidRPr="00E17AAA">
        <w:rPr>
          <w:rFonts w:ascii="Times New Roman" w:hAnsi="Times New Roman"/>
          <w:color w:val="000000"/>
        </w:rPr>
        <w:t xml:space="preserve"> de coordinación</w:t>
      </w:r>
      <w:r w:rsidR="00226DB7" w:rsidRPr="00A92C1D">
        <w:rPr>
          <w:rFonts w:ascii="Times New Roman" w:hAnsi="Times New Roman"/>
          <w:color w:val="000000"/>
        </w:rPr>
        <w:t xml:space="preserve"> entre las instituciones educativas</w:t>
      </w:r>
      <w:r w:rsidRPr="00E17AAA">
        <w:rPr>
          <w:rFonts w:ascii="Times New Roman" w:hAnsi="Times New Roman"/>
          <w:color w:val="000000"/>
        </w:rPr>
        <w:t xml:space="preserve"> y las instancias donde se toman las decisiones. </w:t>
      </w:r>
      <w:r w:rsidR="00F07BD3">
        <w:rPr>
          <w:rFonts w:ascii="Times New Roman" w:hAnsi="Times New Roman"/>
          <w:color w:val="000000"/>
        </w:rPr>
        <w:t>En estas condiciones la capacidad de respuesta del nivel local es limitada frente a las necesidades de la comunidad educativa</w:t>
      </w:r>
      <w:r w:rsidR="00E85637">
        <w:rPr>
          <w:rFonts w:ascii="Times New Roman" w:hAnsi="Times New Roman"/>
          <w:color w:val="000000"/>
        </w:rPr>
        <w:t>,</w:t>
      </w:r>
      <w:r w:rsidR="00F07BD3">
        <w:rPr>
          <w:rFonts w:ascii="Times New Roman" w:hAnsi="Times New Roman"/>
          <w:color w:val="000000"/>
        </w:rPr>
        <w:t xml:space="preserve"> al tiempo que las instituciones educativas no están suficiente</w:t>
      </w:r>
      <w:r w:rsidR="00E85637">
        <w:rPr>
          <w:rFonts w:ascii="Times New Roman" w:hAnsi="Times New Roman"/>
          <w:color w:val="000000"/>
        </w:rPr>
        <w:t>me</w:t>
      </w:r>
      <w:r w:rsidR="003A09E2">
        <w:rPr>
          <w:rFonts w:ascii="Times New Roman" w:hAnsi="Times New Roman"/>
          <w:color w:val="000000"/>
        </w:rPr>
        <w:t>nte empoderada</w:t>
      </w:r>
      <w:r w:rsidR="00F07BD3">
        <w:rPr>
          <w:rFonts w:ascii="Times New Roman" w:hAnsi="Times New Roman"/>
          <w:color w:val="000000"/>
        </w:rPr>
        <w:t>s en su gestión académico administrativa.</w:t>
      </w:r>
    </w:p>
    <w:p w:rsidR="00226DB7" w:rsidRPr="00A92C1D" w:rsidRDefault="00226DB7" w:rsidP="00226DB7">
      <w:pPr>
        <w:jc w:val="both"/>
        <w:rPr>
          <w:rFonts w:ascii="Times New Roman" w:hAnsi="Times New Roman"/>
          <w:color w:val="000000"/>
        </w:rPr>
      </w:pPr>
    </w:p>
    <w:p w:rsidR="00226DB7" w:rsidRDefault="00E17AAA" w:rsidP="00226DB7">
      <w:pPr>
        <w:jc w:val="both"/>
        <w:rPr>
          <w:rFonts w:ascii="Times New Roman" w:hAnsi="Times New Roman"/>
          <w:color w:val="000000"/>
        </w:rPr>
      </w:pPr>
      <w:r w:rsidRPr="00E17AAA">
        <w:rPr>
          <w:rFonts w:ascii="Times New Roman" w:hAnsi="Times New Roman"/>
          <w:color w:val="000000"/>
        </w:rPr>
        <w:t>En cuanto a sistemas de información</w:t>
      </w:r>
      <w:r w:rsidR="00226DB7" w:rsidRPr="00A92C1D">
        <w:rPr>
          <w:rFonts w:ascii="Times New Roman" w:hAnsi="Times New Roman"/>
          <w:color w:val="000000"/>
        </w:rPr>
        <w:t>, la SED cuenta con una serie de aplicativos de información, desarrollados en un 69% por la propia entidad y 31% por compra o convenios interadministrativos con la Secretaría de Hacienda del Distrito. El 53% de ellos funciona como sistemas independientes y el 47% restante tiene algún grado de relación con otros y permite</w:t>
      </w:r>
      <w:r w:rsidR="00B70BD5">
        <w:rPr>
          <w:rFonts w:ascii="Times New Roman" w:hAnsi="Times New Roman"/>
          <w:color w:val="000000"/>
        </w:rPr>
        <w:t xml:space="preserve"> </w:t>
      </w:r>
      <w:r w:rsidR="007C0B46">
        <w:rPr>
          <w:rFonts w:ascii="Times New Roman" w:hAnsi="Times New Roman"/>
          <w:color w:val="000000"/>
        </w:rPr>
        <w:t xml:space="preserve">un cierto grado de </w:t>
      </w:r>
      <w:r w:rsidR="00226DB7" w:rsidRPr="00A92C1D">
        <w:rPr>
          <w:rFonts w:ascii="Times New Roman" w:hAnsi="Times New Roman"/>
          <w:color w:val="000000"/>
        </w:rPr>
        <w:t>comunicación entre ellos</w:t>
      </w:r>
      <w:r w:rsidR="00A820DC">
        <w:rPr>
          <w:rFonts w:ascii="Times New Roman" w:hAnsi="Times New Roman"/>
          <w:color w:val="000000"/>
        </w:rPr>
        <w:t>. S</w:t>
      </w:r>
      <w:r w:rsidR="00226DB7" w:rsidRPr="00A92C1D">
        <w:rPr>
          <w:rFonts w:ascii="Times New Roman" w:hAnsi="Times New Roman"/>
          <w:color w:val="000000"/>
        </w:rPr>
        <w:t xml:space="preserve">in embargo no se pueden considerar </w:t>
      </w:r>
      <w:r w:rsidR="00226DB7" w:rsidRPr="00A92C1D">
        <w:rPr>
          <w:rFonts w:ascii="Times New Roman" w:hAnsi="Times New Roman"/>
          <w:color w:val="000000"/>
        </w:rPr>
        <w:lastRenderedPageBreak/>
        <w:t>sistemas integrados de información puesto que solo reflejan el hecho de que se recibe información de otros aplicativos.</w:t>
      </w:r>
    </w:p>
    <w:p w:rsidR="00EC16BE" w:rsidRDefault="00EC16BE" w:rsidP="00226DB7">
      <w:pPr>
        <w:jc w:val="both"/>
        <w:rPr>
          <w:rFonts w:ascii="Times New Roman" w:hAnsi="Times New Roman"/>
          <w:color w:val="000000"/>
        </w:rPr>
      </w:pPr>
    </w:p>
    <w:p w:rsidR="00EC16BE" w:rsidRPr="00A92C1D" w:rsidRDefault="00491CDE" w:rsidP="00226DB7">
      <w:pPr>
        <w:jc w:val="both"/>
        <w:rPr>
          <w:rFonts w:ascii="Times New Roman" w:hAnsi="Times New Roman"/>
          <w:color w:val="000000"/>
        </w:rPr>
      </w:pPr>
      <w:r w:rsidRPr="00434C6A">
        <w:rPr>
          <w:rFonts w:ascii="Times New Roman" w:hAnsi="Times New Roman"/>
          <w:color w:val="000000"/>
        </w:rPr>
        <w:t>En materia de transparencia y lucha contra la corrupción la Secretaría no cuenta con todos los instrumentos requeridos y presenta algunas deficiencias que deben ser subsanadas: carencia de suficiente información sobre riesgos de corrupción y limitaciones en los niveles de transparencia</w:t>
      </w:r>
      <w:r w:rsidR="00A820DC">
        <w:rPr>
          <w:rFonts w:ascii="Times New Roman" w:hAnsi="Times New Roman"/>
          <w:color w:val="000000"/>
        </w:rPr>
        <w:t>,</w:t>
      </w:r>
      <w:r w:rsidRPr="00434C6A">
        <w:rPr>
          <w:rFonts w:ascii="Times New Roman" w:hAnsi="Times New Roman"/>
          <w:color w:val="000000"/>
        </w:rPr>
        <w:t xml:space="preserve"> debilidades en el control interno y en la función de inspección y vigilancia, así como en el control social.</w:t>
      </w:r>
    </w:p>
    <w:p w:rsidR="00226DB7" w:rsidRPr="00A92C1D" w:rsidRDefault="00E17AAA" w:rsidP="00226DB7">
      <w:pPr>
        <w:jc w:val="both"/>
        <w:rPr>
          <w:rFonts w:ascii="Times New Roman" w:hAnsi="Times New Roman"/>
          <w:color w:val="000000"/>
        </w:rPr>
      </w:pP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p>
    <w:p w:rsidR="00226DB7" w:rsidRPr="00A92C1D" w:rsidRDefault="00E17AAA" w:rsidP="00226DB7">
      <w:pPr>
        <w:jc w:val="both"/>
        <w:rPr>
          <w:rFonts w:ascii="Times New Roman" w:hAnsi="Times New Roman"/>
          <w:color w:val="000000"/>
        </w:rPr>
      </w:pPr>
      <w:r w:rsidRPr="00E17AAA">
        <w:rPr>
          <w:rFonts w:ascii="Times New Roman" w:hAnsi="Times New Roman"/>
          <w:color w:val="000000"/>
        </w:rPr>
        <w:t>La gestión del talento humano</w:t>
      </w:r>
      <w:r w:rsidR="00226DB7" w:rsidRPr="00A92C1D">
        <w:rPr>
          <w:rFonts w:ascii="Times New Roman" w:hAnsi="Times New Roman"/>
          <w:color w:val="000000"/>
        </w:rPr>
        <w:t xml:space="preserve"> actualmente se encuentra centrada en el desarrollo de actividades de recreación y motivación, más que en programas orientados al desarrollo personal y profesional</w:t>
      </w:r>
      <w:r w:rsidR="005302C7">
        <w:rPr>
          <w:rFonts w:ascii="Times New Roman" w:hAnsi="Times New Roman"/>
          <w:color w:val="000000"/>
        </w:rPr>
        <w:t>,</w:t>
      </w:r>
      <w:r w:rsidR="00226DB7" w:rsidRPr="00A92C1D">
        <w:rPr>
          <w:rFonts w:ascii="Times New Roman" w:hAnsi="Times New Roman"/>
          <w:color w:val="000000"/>
        </w:rPr>
        <w:t xml:space="preserve"> sin una cultura organizacional explícita ni herramientas que permitan medir sistemáticamente el clima organizacional para apoyar la toma de decisiones en esta materia.</w:t>
      </w:r>
    </w:p>
    <w:p w:rsidR="00226DB7" w:rsidRPr="00A92C1D" w:rsidRDefault="00226DB7" w:rsidP="00226DB7">
      <w:pPr>
        <w:jc w:val="both"/>
        <w:rPr>
          <w:rFonts w:ascii="Times New Roman" w:hAnsi="Times New Roman"/>
          <w:color w:val="000000"/>
        </w:rPr>
      </w:pPr>
    </w:p>
    <w:p w:rsidR="00226DB7" w:rsidRPr="00A92C1D" w:rsidRDefault="00E17AAA" w:rsidP="00226DB7">
      <w:pPr>
        <w:jc w:val="both"/>
        <w:rPr>
          <w:rFonts w:ascii="Times New Roman" w:hAnsi="Times New Roman"/>
          <w:color w:val="000000"/>
        </w:rPr>
      </w:pPr>
      <w:r w:rsidRPr="00E17AAA">
        <w:rPr>
          <w:rFonts w:ascii="Times New Roman" w:hAnsi="Times New Roman"/>
          <w:color w:val="000000"/>
        </w:rPr>
        <w:t xml:space="preserve">En cuanto a condiciones </w:t>
      </w:r>
      <w:r w:rsidR="00D25371">
        <w:rPr>
          <w:rFonts w:ascii="Times New Roman" w:hAnsi="Times New Roman"/>
          <w:color w:val="000000"/>
        </w:rPr>
        <w:t>materiales</w:t>
      </w:r>
      <w:r w:rsidRPr="00E17AAA">
        <w:rPr>
          <w:rFonts w:ascii="Times New Roman" w:hAnsi="Times New Roman"/>
          <w:color w:val="000000"/>
        </w:rPr>
        <w:t xml:space="preserve"> de trabajo</w:t>
      </w:r>
      <w:r w:rsidR="00226DB7" w:rsidRPr="00A92C1D">
        <w:rPr>
          <w:rFonts w:ascii="Times New Roman" w:hAnsi="Times New Roman"/>
          <w:color w:val="000000"/>
        </w:rPr>
        <w:t>, las plantas físicas del nivel central y local requieren intervenciones en su infraestructura y puestos de trabajo para el desempeño adecuado de las actividades administrativas, debido al deterioro avanzado y la insuficiencia de  espacios, situación que se ha convertido en un factor adicional de det</w:t>
      </w:r>
      <w:r w:rsidR="00D25371">
        <w:rPr>
          <w:rFonts w:ascii="Times New Roman" w:hAnsi="Times New Roman"/>
          <w:color w:val="000000"/>
        </w:rPr>
        <w:t>rimento</w:t>
      </w:r>
      <w:r w:rsidR="00226DB7" w:rsidRPr="00A92C1D">
        <w:rPr>
          <w:rFonts w:ascii="Times New Roman" w:hAnsi="Times New Roman"/>
          <w:color w:val="000000"/>
        </w:rPr>
        <w:t xml:space="preserve"> del clima laboral.</w:t>
      </w:r>
    </w:p>
    <w:p w:rsidR="000E37B2" w:rsidRPr="00E8193D" w:rsidRDefault="00E17AAA">
      <w:pPr>
        <w:jc w:val="both"/>
        <w:rPr>
          <w:rFonts w:ascii="Times New Roman" w:hAnsi="Times New Roman"/>
          <w:color w:val="000000"/>
        </w:rPr>
      </w:pP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r w:rsidRPr="00E17AAA">
        <w:rPr>
          <w:rFonts w:ascii="Times New Roman" w:hAnsi="Times New Roman"/>
          <w:color w:val="000000"/>
        </w:rPr>
        <w:tab/>
      </w:r>
    </w:p>
    <w:p w:rsidR="005C0E8F" w:rsidRDefault="005C0E8F" w:rsidP="005C0E8F">
      <w:pPr>
        <w:jc w:val="both"/>
        <w:rPr>
          <w:rFonts w:ascii="Times New Roman" w:hAnsi="Times New Roman"/>
        </w:rPr>
      </w:pPr>
      <w:r w:rsidRPr="00561F02">
        <w:rPr>
          <w:rFonts w:ascii="Times New Roman" w:hAnsi="Times New Roman"/>
          <w:u w:val="single"/>
        </w:rPr>
        <w:t>Participación.</w:t>
      </w:r>
      <w:r w:rsidRPr="00BA20B4">
        <w:rPr>
          <w:rFonts w:ascii="Times New Roman" w:hAnsi="Times New Roman"/>
        </w:rPr>
        <w:t xml:space="preserve"> La participación de los diferentes actores del sector educativo es baja, los procesos son poco eficaces, los espacios de participación no están operando adecuadamente y no se está cumpliendo </w:t>
      </w:r>
      <w:r w:rsidR="00D25371">
        <w:rPr>
          <w:rFonts w:ascii="Times New Roman" w:hAnsi="Times New Roman"/>
        </w:rPr>
        <w:t>debidamente</w:t>
      </w:r>
      <w:r w:rsidRPr="00BA20B4">
        <w:rPr>
          <w:rFonts w:ascii="Times New Roman" w:hAnsi="Times New Roman"/>
        </w:rPr>
        <w:t xml:space="preserve"> con los propósitos buscados con las distintas formas de participación en la educación.</w:t>
      </w:r>
      <w:r w:rsidR="00B70BD5">
        <w:rPr>
          <w:rFonts w:ascii="Times New Roman" w:hAnsi="Times New Roman"/>
        </w:rPr>
        <w:t xml:space="preserve"> </w:t>
      </w:r>
      <w:r w:rsidRPr="00BA20B4">
        <w:rPr>
          <w:rFonts w:ascii="Times New Roman" w:hAnsi="Times New Roman"/>
        </w:rPr>
        <w:t>Las causas directas de este problema son:</w:t>
      </w:r>
    </w:p>
    <w:p w:rsidR="006703F0" w:rsidRPr="006703F0" w:rsidRDefault="006703F0" w:rsidP="006703F0">
      <w:pPr>
        <w:pStyle w:val="Prrafodelista"/>
        <w:numPr>
          <w:ilvl w:val="0"/>
          <w:numId w:val="4"/>
        </w:numPr>
        <w:jc w:val="both"/>
      </w:pPr>
      <w:r w:rsidRPr="006703F0">
        <w:t>Poco interés y compromiso de las autoridades de las instituciones educativas y de la SED en promover los espacios y procesos de participación.</w:t>
      </w:r>
    </w:p>
    <w:p w:rsidR="006703F0" w:rsidRDefault="006703F0" w:rsidP="006703F0">
      <w:pPr>
        <w:pStyle w:val="Prrafodelista"/>
        <w:numPr>
          <w:ilvl w:val="0"/>
          <w:numId w:val="4"/>
        </w:numPr>
        <w:jc w:val="both"/>
      </w:pPr>
      <w:r>
        <w:t>Limitaciones de tiempo y de conocimiento de los procesos de participación por parte de los diferentes actores.</w:t>
      </w:r>
    </w:p>
    <w:p w:rsidR="00AB5356" w:rsidRDefault="00AB5356" w:rsidP="006703F0">
      <w:pPr>
        <w:pStyle w:val="Prrafodelista"/>
        <w:numPr>
          <w:ilvl w:val="0"/>
          <w:numId w:val="4"/>
        </w:numPr>
        <w:jc w:val="both"/>
      </w:pPr>
      <w:r>
        <w:t>Desinterés y apatía por considerar que los espacios no permiten efectivamente tener incidencia.</w:t>
      </w:r>
    </w:p>
    <w:p w:rsidR="00AB5356" w:rsidRPr="006703F0" w:rsidRDefault="00F17FD5" w:rsidP="006703F0">
      <w:pPr>
        <w:pStyle w:val="Prrafodelista"/>
        <w:numPr>
          <w:ilvl w:val="0"/>
          <w:numId w:val="4"/>
        </w:numPr>
        <w:jc w:val="both"/>
      </w:pPr>
      <w:r>
        <w:t>Diseño inadecuado de los espacios y procesos de participación que no generan los incentivos apropiados.</w:t>
      </w:r>
    </w:p>
    <w:p w:rsidR="005A5B0C" w:rsidRPr="00BA20B4" w:rsidRDefault="005A5B0C" w:rsidP="005A5B0C">
      <w:pPr>
        <w:jc w:val="both"/>
        <w:rPr>
          <w:rFonts w:ascii="Times New Roman" w:hAnsi="Times New Roman"/>
          <w:color w:val="000000"/>
        </w:rPr>
      </w:pPr>
    </w:p>
    <w:p w:rsidR="00323EBB" w:rsidRDefault="005A5B0C" w:rsidP="00F17FD5">
      <w:pPr>
        <w:jc w:val="both"/>
        <w:rPr>
          <w:rFonts w:ascii="Times New Roman" w:hAnsi="Times New Roman"/>
          <w:color w:val="000000"/>
        </w:rPr>
      </w:pPr>
      <w:r w:rsidRPr="00F17FD5">
        <w:rPr>
          <w:rFonts w:ascii="Times New Roman" w:hAnsi="Times New Roman"/>
          <w:color w:val="000000"/>
          <w:u w:val="single"/>
        </w:rPr>
        <w:t>Comunicación.</w:t>
      </w:r>
      <w:r w:rsidRPr="00BA20B4">
        <w:rPr>
          <w:rFonts w:ascii="Times New Roman" w:hAnsi="Times New Roman"/>
          <w:color w:val="000000"/>
        </w:rPr>
        <w:t xml:space="preserve"> El concepto instrumental y periodístico que orien</w:t>
      </w:r>
      <w:r w:rsidR="00834DEC" w:rsidRPr="00BA20B4">
        <w:rPr>
          <w:rFonts w:ascii="Times New Roman" w:hAnsi="Times New Roman"/>
          <w:color w:val="000000"/>
        </w:rPr>
        <w:t>ta</w:t>
      </w:r>
      <w:r w:rsidR="00C900A7">
        <w:rPr>
          <w:rFonts w:ascii="Times New Roman" w:hAnsi="Times New Roman"/>
          <w:color w:val="000000"/>
        </w:rPr>
        <w:t xml:space="preserve"> actualmente</w:t>
      </w:r>
      <w:r w:rsidR="00834DEC" w:rsidRPr="00BA20B4">
        <w:rPr>
          <w:rFonts w:ascii="Times New Roman" w:hAnsi="Times New Roman"/>
          <w:color w:val="000000"/>
        </w:rPr>
        <w:t xml:space="preserve"> la gestión de la SED limita</w:t>
      </w:r>
      <w:r w:rsidRPr="00BA20B4">
        <w:rPr>
          <w:rFonts w:ascii="Times New Roman" w:hAnsi="Times New Roman"/>
          <w:color w:val="000000"/>
        </w:rPr>
        <w:t xml:space="preserve"> el alcance comunicativo tanto a nivel interno (flujos de comunicación y clima organizacional), como externo (imagen de la entidad, desarticulación en los mensajes políticos y misionales), la especialización de la comunicación con los públicos objetivos, así como su papel integral </w:t>
      </w:r>
      <w:r w:rsidR="00834DEC" w:rsidRPr="00BA20B4">
        <w:rPr>
          <w:rFonts w:ascii="Times New Roman" w:hAnsi="Times New Roman"/>
          <w:color w:val="000000"/>
        </w:rPr>
        <w:t xml:space="preserve">en los procesos de la entidad. </w:t>
      </w:r>
      <w:r w:rsidRPr="00BA20B4">
        <w:rPr>
          <w:rFonts w:ascii="Times New Roman" w:hAnsi="Times New Roman"/>
          <w:color w:val="000000"/>
        </w:rPr>
        <w:t>Las causas directas de esta situación son:</w:t>
      </w:r>
    </w:p>
    <w:p w:rsidR="005A5B0C" w:rsidRPr="00F17FD5" w:rsidRDefault="00480392" w:rsidP="005A5B0C">
      <w:pPr>
        <w:pStyle w:val="Prrafodelista"/>
        <w:numPr>
          <w:ilvl w:val="0"/>
          <w:numId w:val="4"/>
        </w:numPr>
        <w:jc w:val="both"/>
        <w:rPr>
          <w:szCs w:val="20"/>
          <w:lang w:eastAsia="es-ES_tradnl"/>
        </w:rPr>
      </w:pPr>
      <w:r w:rsidRPr="00F17FD5">
        <w:rPr>
          <w:szCs w:val="20"/>
          <w:lang w:eastAsia="es-ES_tradnl"/>
        </w:rPr>
        <w:t>Falta de unas políticas y una estrategia institucionales de comunicación que respondan a la misión de la institución y al proyecto político, que encadenen los tres niveles de la SED.</w:t>
      </w:r>
    </w:p>
    <w:p w:rsidR="005A5B0C" w:rsidRPr="00F17FD5" w:rsidRDefault="00480392" w:rsidP="005A5B0C">
      <w:pPr>
        <w:pStyle w:val="Prrafodelista"/>
        <w:numPr>
          <w:ilvl w:val="0"/>
          <w:numId w:val="4"/>
        </w:numPr>
        <w:jc w:val="both"/>
        <w:rPr>
          <w:szCs w:val="20"/>
          <w:lang w:eastAsia="es-ES_tradnl"/>
        </w:rPr>
      </w:pPr>
      <w:r w:rsidRPr="00F17FD5">
        <w:rPr>
          <w:szCs w:val="20"/>
          <w:lang w:eastAsia="es-ES_tradnl"/>
        </w:rPr>
        <w:t>Los esfuerzos comunicativos se concentraron en algunas necesidades del nivel central de la entidad.</w:t>
      </w:r>
    </w:p>
    <w:p w:rsidR="005A5B0C" w:rsidRPr="00F17FD5" w:rsidRDefault="00480392" w:rsidP="005A5B0C">
      <w:pPr>
        <w:pStyle w:val="Prrafodelista"/>
        <w:numPr>
          <w:ilvl w:val="0"/>
          <w:numId w:val="4"/>
        </w:numPr>
        <w:jc w:val="both"/>
        <w:rPr>
          <w:szCs w:val="20"/>
          <w:lang w:eastAsia="es-ES_tradnl"/>
        </w:rPr>
      </w:pPr>
      <w:r w:rsidRPr="00F17FD5">
        <w:rPr>
          <w:szCs w:val="20"/>
          <w:lang w:eastAsia="es-ES_tradnl"/>
        </w:rPr>
        <w:lastRenderedPageBreak/>
        <w:t>Falta de capacidad instalada para la gestión comunicativa en los niveles local e institucional.</w:t>
      </w:r>
    </w:p>
    <w:p w:rsidR="00613372" w:rsidRPr="00E8193D" w:rsidRDefault="00480392" w:rsidP="005A5B0C">
      <w:pPr>
        <w:pStyle w:val="Prrafodelista"/>
        <w:numPr>
          <w:ilvl w:val="0"/>
          <w:numId w:val="4"/>
        </w:numPr>
        <w:jc w:val="both"/>
        <w:rPr>
          <w:szCs w:val="20"/>
          <w:lang w:eastAsia="es-ES_tradnl"/>
        </w:rPr>
      </w:pPr>
      <w:r w:rsidRPr="00F17FD5">
        <w:rPr>
          <w:szCs w:val="20"/>
          <w:lang w:eastAsia="es-ES_tradnl"/>
        </w:rPr>
        <w:t xml:space="preserve">Falta de capacidad instalada en la </w:t>
      </w:r>
      <w:r w:rsidR="00AB07E8">
        <w:rPr>
          <w:szCs w:val="20"/>
          <w:lang w:eastAsia="es-ES_tradnl"/>
        </w:rPr>
        <w:t>SED</w:t>
      </w:r>
      <w:r w:rsidRPr="00F17FD5">
        <w:rPr>
          <w:szCs w:val="20"/>
          <w:lang w:eastAsia="es-ES_tradnl"/>
        </w:rPr>
        <w:t>para la producción de nuevas herramientas comunicativas que incluyan comunicación digital, BTL, productos audiovisuales, comunicación para el desarrollo</w:t>
      </w:r>
      <w:r w:rsidR="00AB07E8">
        <w:rPr>
          <w:szCs w:val="20"/>
          <w:lang w:eastAsia="es-ES_tradnl"/>
        </w:rPr>
        <w:t>,</w:t>
      </w:r>
      <w:r w:rsidRPr="00F17FD5">
        <w:rPr>
          <w:szCs w:val="20"/>
          <w:lang w:eastAsia="es-ES_tradnl"/>
        </w:rPr>
        <w:t xml:space="preserve"> comunicación organizacional, publicidad y el salto social.</w:t>
      </w:r>
    </w:p>
    <w:p w:rsidR="005A5B0C" w:rsidRPr="00BA20B4" w:rsidRDefault="0002413A" w:rsidP="005A5B0C">
      <w:pPr>
        <w:rPr>
          <w:rFonts w:ascii="Times New Roman" w:hAnsi="Times New Roman"/>
          <w:b/>
        </w:rPr>
      </w:pPr>
      <w:bookmarkStart w:id="24" w:name="_Toc334449002"/>
      <w:r w:rsidRPr="00BA20B4">
        <w:rPr>
          <w:rFonts w:ascii="Times New Roman" w:hAnsi="Times New Roman"/>
          <w:b/>
        </w:rPr>
        <w:br w:type="page"/>
      </w:r>
    </w:p>
    <w:p w:rsidR="005A5B0C" w:rsidRPr="00BA20B4" w:rsidRDefault="005A5B0C" w:rsidP="005A5B0C">
      <w:pPr>
        <w:pStyle w:val="Ttulo1"/>
        <w:spacing w:before="0"/>
        <w:rPr>
          <w:rFonts w:ascii="Times New Roman" w:hAnsi="Times New Roman"/>
          <w:sz w:val="32"/>
        </w:rPr>
      </w:pPr>
      <w:bookmarkStart w:id="25" w:name="_Toc362358045"/>
      <w:r w:rsidRPr="00BA20B4">
        <w:rPr>
          <w:rFonts w:ascii="Times New Roman" w:hAnsi="Times New Roman"/>
          <w:sz w:val="32"/>
        </w:rPr>
        <w:lastRenderedPageBreak/>
        <w:t xml:space="preserve">3. OBJETIVOS </w:t>
      </w:r>
      <w:r w:rsidR="00507340" w:rsidRPr="00BA20B4">
        <w:rPr>
          <w:rFonts w:ascii="Times New Roman" w:hAnsi="Times New Roman"/>
          <w:sz w:val="32"/>
        </w:rPr>
        <w:t>Y LÍNEAS DE ACCIÓN</w:t>
      </w:r>
      <w:r w:rsidR="00585443" w:rsidRPr="00BA20B4">
        <w:rPr>
          <w:rFonts w:ascii="Times New Roman" w:hAnsi="Times New Roman"/>
          <w:sz w:val="32"/>
        </w:rPr>
        <w:t>: LAS APUESTAS</w:t>
      </w:r>
      <w:bookmarkEnd w:id="25"/>
    </w:p>
    <w:p w:rsidR="00585443" w:rsidRPr="00BA20B4" w:rsidRDefault="00585443" w:rsidP="005A5B0C">
      <w:pPr>
        <w:rPr>
          <w:rFonts w:ascii="Times New Roman" w:hAnsi="Times New Roman"/>
        </w:rPr>
      </w:pPr>
    </w:p>
    <w:p w:rsidR="005A5B0C" w:rsidRPr="00BA20B4" w:rsidRDefault="00AF3DCE" w:rsidP="005A5B0C">
      <w:pPr>
        <w:jc w:val="both"/>
        <w:rPr>
          <w:rFonts w:ascii="Times New Roman" w:hAnsi="Times New Roman"/>
        </w:rPr>
      </w:pPr>
      <w:r>
        <w:rPr>
          <w:rFonts w:ascii="Times New Roman" w:hAnsi="Times New Roman"/>
        </w:rPr>
        <w:t>El Plan Distrital de Desarrollo, Bogotá Humana, aproba</w:t>
      </w:r>
      <w:r w:rsidR="00093380">
        <w:rPr>
          <w:rFonts w:ascii="Times New Roman" w:hAnsi="Times New Roman"/>
        </w:rPr>
        <w:t>do por el Concejo de la ciudad mediante el acuerdo 489 de 2012, incluye dentro del eje</w:t>
      </w:r>
      <w:r w:rsidR="00DD5E4C">
        <w:rPr>
          <w:rFonts w:ascii="Times New Roman" w:hAnsi="Times New Roman"/>
        </w:rPr>
        <w:t xml:space="preserve"> número 1, “Una ciudad que reduce la segregación y la discriminación: el ser humano en el centro de las preocupaciones del desarrollo”, </w:t>
      </w:r>
      <w:r w:rsidR="00093380">
        <w:rPr>
          <w:rFonts w:ascii="Times New Roman" w:hAnsi="Times New Roman"/>
        </w:rPr>
        <w:t xml:space="preserve">el </w:t>
      </w:r>
      <w:r w:rsidR="005A5B0C" w:rsidRPr="00BA20B4">
        <w:rPr>
          <w:rFonts w:ascii="Times New Roman" w:hAnsi="Times New Roman"/>
        </w:rPr>
        <w:t xml:space="preserve">Programa de </w:t>
      </w:r>
      <w:r w:rsidR="00C51957" w:rsidRPr="00C51957">
        <w:rPr>
          <w:rFonts w:ascii="Times New Roman" w:eastAsiaTheme="minorHAnsi" w:hAnsi="Times New Roman" w:cs="Helvetica"/>
          <w:bCs/>
          <w:color w:val="000000"/>
          <w:lang w:eastAsia="en-US"/>
        </w:rPr>
        <w:t>Construcción de saberes. Educación incluyente, diversa y de calidad para disfrutar y aprender</w:t>
      </w:r>
      <w:r w:rsidR="007B1649">
        <w:rPr>
          <w:rFonts w:ascii="Times New Roman" w:hAnsi="Times New Roman"/>
        </w:rPr>
        <w:t xml:space="preserve"> y el Programa de Garantía del Desarrollo Integral de</w:t>
      </w:r>
      <w:r w:rsidR="003A666D" w:rsidRPr="00BA20B4">
        <w:rPr>
          <w:rFonts w:ascii="Times New Roman" w:hAnsi="Times New Roman"/>
        </w:rPr>
        <w:t xml:space="preserve"> la Primera Infancia</w:t>
      </w:r>
      <w:r w:rsidR="00DD5E4C">
        <w:rPr>
          <w:rFonts w:ascii="Times New Roman" w:hAnsi="Times New Roman"/>
        </w:rPr>
        <w:t>, fija</w:t>
      </w:r>
      <w:r w:rsidR="00E85647">
        <w:rPr>
          <w:rFonts w:ascii="Times New Roman" w:hAnsi="Times New Roman"/>
        </w:rPr>
        <w:t>ndo</w:t>
      </w:r>
      <w:r w:rsidR="00DD5E4C">
        <w:rPr>
          <w:rFonts w:ascii="Times New Roman" w:hAnsi="Times New Roman"/>
        </w:rPr>
        <w:t xml:space="preserve"> los objetivos y metas de impacto, las estrategias y proyectos prioritarios dentro de los cuales se enmarca el Plan Sectorial de Educación 2012-2016.</w:t>
      </w:r>
    </w:p>
    <w:p w:rsidR="00C0673D" w:rsidRPr="00666BB4" w:rsidRDefault="00C0673D" w:rsidP="00666BB4">
      <w:pPr>
        <w:pStyle w:val="Ttulo3"/>
        <w:rPr>
          <w:rFonts w:ascii="Times New Roman" w:hAnsi="Times New Roman"/>
        </w:rPr>
      </w:pPr>
      <w:bookmarkStart w:id="26" w:name="_Toc362358046"/>
      <w:r w:rsidRPr="00666BB4">
        <w:rPr>
          <w:rFonts w:ascii="Times New Roman" w:hAnsi="Times New Roman"/>
        </w:rPr>
        <w:t>3.1. Objetivos y metas de impacto, resultado y gestión en el plan distrital</w:t>
      </w:r>
      <w:bookmarkEnd w:id="26"/>
    </w:p>
    <w:p w:rsidR="00C0673D" w:rsidRPr="00BA20B4" w:rsidRDefault="00C0673D" w:rsidP="00C0673D">
      <w:pPr>
        <w:rPr>
          <w:rFonts w:ascii="Times New Roman" w:hAnsi="Times New Roman"/>
        </w:rPr>
      </w:pPr>
    </w:p>
    <w:p w:rsidR="003D0517" w:rsidRDefault="00C0673D" w:rsidP="00C0673D">
      <w:pPr>
        <w:jc w:val="both"/>
        <w:rPr>
          <w:rFonts w:ascii="Times New Roman" w:hAnsi="Times New Roman"/>
        </w:rPr>
      </w:pPr>
      <w:r w:rsidRPr="00BA20B4">
        <w:rPr>
          <w:rFonts w:ascii="Times New Roman" w:hAnsi="Times New Roman"/>
        </w:rPr>
        <w:t xml:space="preserve">El Plan Distrital de Desarrollo </w:t>
      </w:r>
      <w:r w:rsidR="006C5926">
        <w:rPr>
          <w:rFonts w:ascii="Times New Roman" w:hAnsi="Times New Roman"/>
        </w:rPr>
        <w:t xml:space="preserve">Bogotá Humana </w:t>
      </w:r>
      <w:r w:rsidRPr="00BA20B4">
        <w:rPr>
          <w:rFonts w:ascii="Times New Roman" w:hAnsi="Times New Roman"/>
        </w:rPr>
        <w:t>se compromete prioritariamente con alcanzar</w:t>
      </w:r>
      <w:r>
        <w:rPr>
          <w:rFonts w:ascii="Times New Roman" w:hAnsi="Times New Roman"/>
        </w:rPr>
        <w:t xml:space="preserve"> los objetivos de ampliar el acceso y garantizar la permanencia, mejorar la calidad del servicio educativo y los resultados del aprendizaje y reducir las desigualdades sociales y la exclusión en el sector</w:t>
      </w:r>
      <w:r w:rsidR="007B1649">
        <w:rPr>
          <w:rStyle w:val="Refdenotaalpie"/>
          <w:rFonts w:ascii="Times New Roman" w:hAnsi="Times New Roman"/>
        </w:rPr>
        <w:footnoteReference w:id="86"/>
      </w:r>
      <w:r>
        <w:rPr>
          <w:rFonts w:ascii="Times New Roman" w:hAnsi="Times New Roman"/>
        </w:rPr>
        <w:t>, para lo cual se fijaron</w:t>
      </w:r>
      <w:r w:rsidRPr="00BA20B4">
        <w:rPr>
          <w:rFonts w:ascii="Times New Roman" w:hAnsi="Times New Roman"/>
        </w:rPr>
        <w:t xml:space="preserve"> cinco metas de impacto que abordan problemas centrales de la situación de la educación: </w:t>
      </w:r>
      <w:r w:rsidR="0050702E">
        <w:rPr>
          <w:rFonts w:ascii="Times New Roman" w:hAnsi="Times New Roman"/>
        </w:rPr>
        <w:t xml:space="preserve">lograr </w:t>
      </w:r>
      <w:r w:rsidRPr="00BA20B4">
        <w:rPr>
          <w:rFonts w:ascii="Times New Roman" w:hAnsi="Times New Roman"/>
        </w:rPr>
        <w:t xml:space="preserve">la cobertura del servicio en la población más pobre, </w:t>
      </w:r>
      <w:r w:rsidR="0050702E">
        <w:rPr>
          <w:rFonts w:ascii="Times New Roman" w:hAnsi="Times New Roman"/>
        </w:rPr>
        <w:t xml:space="preserve">disminuir </w:t>
      </w:r>
      <w:r w:rsidRPr="00BA20B4">
        <w:rPr>
          <w:rFonts w:ascii="Times New Roman" w:hAnsi="Times New Roman"/>
        </w:rPr>
        <w:t>l</w:t>
      </w:r>
      <w:r w:rsidR="00600AFE">
        <w:rPr>
          <w:rFonts w:ascii="Times New Roman" w:hAnsi="Times New Roman"/>
        </w:rPr>
        <w:t>as desigualdades en</w:t>
      </w:r>
      <w:r w:rsidR="0050702E">
        <w:rPr>
          <w:rFonts w:ascii="Times New Roman" w:hAnsi="Times New Roman"/>
        </w:rPr>
        <w:t xml:space="preserve"> los resultados del aprendizaje y </w:t>
      </w:r>
      <w:r w:rsidRPr="00BA20B4">
        <w:rPr>
          <w:rFonts w:ascii="Times New Roman" w:hAnsi="Times New Roman"/>
        </w:rPr>
        <w:t xml:space="preserve">los niveles de deserción, </w:t>
      </w:r>
      <w:r w:rsidR="0050702E">
        <w:rPr>
          <w:rFonts w:ascii="Times New Roman" w:hAnsi="Times New Roman"/>
        </w:rPr>
        <w:t xml:space="preserve">mejorar </w:t>
      </w:r>
      <w:r w:rsidRPr="00BA20B4">
        <w:rPr>
          <w:rFonts w:ascii="Times New Roman" w:hAnsi="Times New Roman"/>
        </w:rPr>
        <w:t>la percepción de la calidad del servicio, y</w:t>
      </w:r>
      <w:r w:rsidR="0050702E">
        <w:rPr>
          <w:rFonts w:ascii="Times New Roman" w:hAnsi="Times New Roman"/>
        </w:rPr>
        <w:t xml:space="preserve"> aumentar</w:t>
      </w:r>
      <w:r w:rsidRPr="00BA20B4">
        <w:rPr>
          <w:rFonts w:ascii="Times New Roman" w:hAnsi="Times New Roman"/>
        </w:rPr>
        <w:t xml:space="preserve"> la participación de los niños, niñas y jóvenes. </w:t>
      </w:r>
    </w:p>
    <w:p w:rsidR="003D0517" w:rsidRDefault="003D0517" w:rsidP="00C0673D">
      <w:pPr>
        <w:jc w:val="both"/>
        <w:rPr>
          <w:rFonts w:ascii="Times New Roman" w:hAnsi="Times New Roman"/>
        </w:rPr>
      </w:pPr>
    </w:p>
    <w:p w:rsidR="00C0673D" w:rsidRPr="00BA20B4" w:rsidRDefault="00C0673D" w:rsidP="00C0673D">
      <w:pPr>
        <w:jc w:val="both"/>
        <w:rPr>
          <w:rFonts w:ascii="Times New Roman" w:eastAsiaTheme="minorHAnsi" w:hAnsi="Times New Roman" w:cs="Times New Roman"/>
          <w:color w:val="000000"/>
          <w:lang w:eastAsia="en-US"/>
        </w:rPr>
      </w:pPr>
      <w:r w:rsidRPr="00BA20B4">
        <w:rPr>
          <w:rFonts w:ascii="Times New Roman" w:eastAsiaTheme="minorHAnsi" w:hAnsi="Times New Roman" w:cs="Times New Roman"/>
          <w:color w:val="000000"/>
          <w:lang w:eastAsia="en-US"/>
        </w:rPr>
        <w:t>Para alcanzar estas metas, el PDD incluye</w:t>
      </w:r>
      <w:r w:rsidR="004956CA">
        <w:rPr>
          <w:rFonts w:ascii="Times New Roman" w:eastAsiaTheme="minorHAnsi" w:hAnsi="Times New Roman" w:cs="Times New Roman"/>
          <w:color w:val="000000"/>
          <w:lang w:eastAsia="en-US"/>
        </w:rPr>
        <w:t>,</w:t>
      </w:r>
      <w:r w:rsidRPr="00BA20B4">
        <w:rPr>
          <w:rFonts w:ascii="Times New Roman" w:eastAsiaTheme="minorHAnsi" w:hAnsi="Times New Roman" w:cs="Times New Roman"/>
          <w:color w:val="000000"/>
          <w:lang w:eastAsia="en-US"/>
        </w:rPr>
        <w:t xml:space="preserve"> en su artículo 9</w:t>
      </w:r>
      <w:r w:rsidR="004956CA">
        <w:rPr>
          <w:rFonts w:ascii="Times New Roman" w:eastAsiaTheme="minorHAnsi" w:hAnsi="Times New Roman" w:cs="Times New Roman"/>
          <w:color w:val="000000"/>
          <w:lang w:eastAsia="en-US"/>
        </w:rPr>
        <w:t>,</w:t>
      </w:r>
      <w:r w:rsidRPr="00BA20B4">
        <w:rPr>
          <w:rFonts w:ascii="Times New Roman" w:eastAsiaTheme="minorHAnsi" w:hAnsi="Times New Roman" w:cs="Times New Roman"/>
          <w:color w:val="000000"/>
          <w:lang w:eastAsia="en-US"/>
        </w:rPr>
        <w:t xml:space="preserve"> el Programa </w:t>
      </w:r>
      <w:r w:rsidRPr="00BA20B4">
        <w:rPr>
          <w:rFonts w:ascii="Times New Roman" w:eastAsiaTheme="minorHAnsi" w:hAnsi="Times New Roman" w:cs="Helvetica"/>
          <w:bCs/>
          <w:color w:val="000000"/>
          <w:lang w:eastAsia="en-US"/>
        </w:rPr>
        <w:t>Construcción de saberes</w:t>
      </w:r>
      <w:r w:rsidR="009363C6">
        <w:rPr>
          <w:rFonts w:ascii="Times New Roman" w:eastAsiaTheme="minorHAnsi" w:hAnsi="Times New Roman" w:cs="Helvetica"/>
          <w:bCs/>
          <w:color w:val="000000"/>
          <w:lang w:eastAsia="en-US"/>
        </w:rPr>
        <w:t>, e</w:t>
      </w:r>
      <w:r w:rsidRPr="00BA20B4">
        <w:rPr>
          <w:rFonts w:ascii="Times New Roman" w:eastAsiaTheme="minorHAnsi" w:hAnsi="Times New Roman" w:cs="Helvetica"/>
          <w:bCs/>
          <w:color w:val="000000"/>
          <w:lang w:eastAsia="en-US"/>
        </w:rPr>
        <w:t xml:space="preserve">ducación incluyente, diversa y de calidad para disfrutar y aprender, </w:t>
      </w:r>
      <w:r w:rsidR="0085169B">
        <w:rPr>
          <w:rFonts w:ascii="Times New Roman" w:eastAsiaTheme="minorHAnsi" w:hAnsi="Times New Roman" w:cs="Helvetica"/>
          <w:bCs/>
          <w:color w:val="000000"/>
          <w:lang w:eastAsia="en-US"/>
        </w:rPr>
        <w:t xml:space="preserve"> el cual se propone</w:t>
      </w:r>
      <w:r w:rsidRPr="00BA20B4">
        <w:rPr>
          <w:rFonts w:ascii="Times New Roman" w:eastAsiaTheme="minorHAnsi" w:hAnsi="Times New Roman" w:cs="Helvetica"/>
          <w:bCs/>
          <w:color w:val="000000"/>
          <w:lang w:eastAsia="en-US"/>
        </w:rPr>
        <w:t xml:space="preserve">: </w:t>
      </w:r>
      <w:r w:rsidR="00AD7A89">
        <w:rPr>
          <w:rFonts w:ascii="Times New Roman" w:eastAsiaTheme="minorHAnsi" w:hAnsi="Times New Roman" w:cs="Helvetica"/>
          <w:bCs/>
          <w:color w:val="000000"/>
          <w:lang w:eastAsia="en-US"/>
        </w:rPr>
        <w:t>“</w:t>
      </w:r>
      <w:r w:rsidRPr="00BA20B4">
        <w:rPr>
          <w:rFonts w:ascii="Times New Roman" w:eastAsiaTheme="minorHAnsi" w:hAnsi="Times New Roman" w:cs="Times New Roman"/>
          <w:color w:val="000000"/>
          <w:lang w:eastAsia="en-US"/>
        </w:rPr>
        <w:t>Reducir las brechas de calidad de la educación a partir de la ampliación de una oferta de educación pública incluyente y de calidad, que garantice el acceso y la permanencia en el sistema educativo de niños, niñas y jóvenes y potencie sus capacidades para la apropiación de saberes. Garantizar a las niñas y los niños el derecho a una educación de calidad que responda a las expectativas individuales y colectivas; que retome los compromisos de campaña en términos de pedagogía para pensar, el libro saber, la innovación y el rediseño curricular, una segunda lengua, la lectura y la escritura, el uso pedagógico de TIC que facilite la participación de los estudiantes en las redes y autopistas del conocimiento, el desarrollo integral de la juventud con más y mejor educación.</w:t>
      </w:r>
      <w:r w:rsidR="00AD7A89">
        <w:rPr>
          <w:rFonts w:ascii="Times New Roman" w:eastAsiaTheme="minorHAnsi" w:hAnsi="Times New Roman" w:cs="Times New Roman"/>
          <w:color w:val="000000"/>
          <w:lang w:eastAsia="en-US"/>
        </w:rPr>
        <w:t>”</w:t>
      </w:r>
    </w:p>
    <w:p w:rsidR="00C0673D" w:rsidRPr="00BA20B4" w:rsidRDefault="00C0673D" w:rsidP="00C0673D">
      <w:pPr>
        <w:rPr>
          <w:rFonts w:ascii="Times New Roman" w:hAnsi="Times New Roman"/>
        </w:rPr>
      </w:pPr>
    </w:p>
    <w:p w:rsidR="002975EA" w:rsidRDefault="0050702E" w:rsidP="00E77577">
      <w:pPr>
        <w:jc w:val="both"/>
        <w:rPr>
          <w:rFonts w:ascii="Times New Roman" w:hAnsi="Times New Roman"/>
        </w:rPr>
      </w:pPr>
      <w:r>
        <w:rPr>
          <w:rFonts w:ascii="Times New Roman" w:hAnsi="Times New Roman"/>
        </w:rPr>
        <w:lastRenderedPageBreak/>
        <w:t>E</w:t>
      </w:r>
      <w:r w:rsidR="008F5DDF">
        <w:rPr>
          <w:rFonts w:ascii="Times New Roman" w:hAnsi="Times New Roman"/>
        </w:rPr>
        <w:t>n</w:t>
      </w:r>
      <w:r w:rsidR="004956CA" w:rsidRPr="00BA20B4">
        <w:rPr>
          <w:rFonts w:ascii="Times New Roman" w:hAnsi="Times New Roman"/>
        </w:rPr>
        <w:t xml:space="preserve"> relación</w:t>
      </w:r>
      <w:r w:rsidR="008F5DDF">
        <w:rPr>
          <w:rFonts w:ascii="Times New Roman" w:hAnsi="Times New Roman"/>
        </w:rPr>
        <w:t xml:space="preserve"> con</w:t>
      </w:r>
      <w:r w:rsidR="004956CA" w:rsidRPr="00BA20B4">
        <w:rPr>
          <w:rFonts w:ascii="Times New Roman" w:hAnsi="Times New Roman"/>
        </w:rPr>
        <w:t xml:space="preserve"> la primera infancia, el Plan de Desarrollo dentro del Programa Garantía del Desarrollo Integral de la Primera Infancia</w:t>
      </w:r>
      <w:r w:rsidR="00B70BD5">
        <w:rPr>
          <w:rFonts w:ascii="Times New Roman" w:hAnsi="Times New Roman"/>
        </w:rPr>
        <w:t xml:space="preserve"> </w:t>
      </w:r>
      <w:r w:rsidR="00824F24">
        <w:rPr>
          <w:rFonts w:ascii="Times New Roman" w:hAnsi="Times New Roman"/>
        </w:rPr>
        <w:t xml:space="preserve">establece </w:t>
      </w:r>
      <w:r w:rsidR="003D0517">
        <w:rPr>
          <w:rFonts w:ascii="Times New Roman" w:hAnsi="Times New Roman"/>
        </w:rPr>
        <w:t>la meta de atender inte</w:t>
      </w:r>
      <w:r w:rsidR="006C5926">
        <w:rPr>
          <w:rFonts w:ascii="Times New Roman" w:hAnsi="Times New Roman"/>
        </w:rPr>
        <w:t>gralmente a 270.000 niños y niña</w:t>
      </w:r>
      <w:r w:rsidR="003D0517">
        <w:rPr>
          <w:rFonts w:ascii="Times New Roman" w:hAnsi="Times New Roman"/>
        </w:rPr>
        <w:t xml:space="preserve">s </w:t>
      </w:r>
      <w:r w:rsidR="00824F24">
        <w:rPr>
          <w:rFonts w:ascii="Times New Roman" w:hAnsi="Times New Roman"/>
        </w:rPr>
        <w:t xml:space="preserve">menores de 6 años </w:t>
      </w:r>
      <w:r w:rsidR="003D0517">
        <w:rPr>
          <w:rFonts w:ascii="Times New Roman" w:hAnsi="Times New Roman"/>
        </w:rPr>
        <w:t>en Bogotá con un modelo inclusivo y diferencial de calidad, de los cuales la Secretaría de Educación atenderá 121.000 con énfasis en el grupo de 3 a 5 años.</w:t>
      </w:r>
    </w:p>
    <w:p w:rsidR="004956CA" w:rsidRPr="00BA20B4" w:rsidRDefault="004956CA" w:rsidP="004956CA">
      <w:pPr>
        <w:rPr>
          <w:rFonts w:ascii="Times New Roman" w:hAnsi="Times New Roman"/>
        </w:rPr>
      </w:pPr>
    </w:p>
    <w:p w:rsidR="00490128" w:rsidRPr="00BA20B4" w:rsidRDefault="00490128" w:rsidP="005A5B0C">
      <w:pPr>
        <w:jc w:val="both"/>
        <w:rPr>
          <w:rFonts w:ascii="Times New Roman" w:hAnsi="Times New Roman"/>
        </w:rPr>
      </w:pPr>
    </w:p>
    <w:p w:rsidR="00490128" w:rsidRPr="00BA20B4" w:rsidRDefault="00631C6A" w:rsidP="005A5B0C">
      <w:pPr>
        <w:jc w:val="both"/>
        <w:rPr>
          <w:rFonts w:ascii="Times New Roman" w:hAnsi="Times New Roman"/>
        </w:rPr>
      </w:pPr>
      <w:r>
        <w:rPr>
          <w:rFonts w:ascii="Times New Roman" w:hAnsi="Times New Roman"/>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1034415</wp:posOffset>
                </wp:positionH>
                <wp:positionV relativeFrom="paragraph">
                  <wp:posOffset>-61595</wp:posOffset>
                </wp:positionV>
                <wp:extent cx="3476625" cy="352425"/>
                <wp:effectExtent l="24765" t="24130" r="32385" b="52070"/>
                <wp:wrapTight wrapText="bothSides">
                  <wp:wrapPolygon edited="0">
                    <wp:start x="-237" y="-1168"/>
                    <wp:lineTo x="-178" y="23351"/>
                    <wp:lineTo x="21837" y="23351"/>
                    <wp:lineTo x="21778" y="-1168"/>
                    <wp:lineTo x="-237" y="-1168"/>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524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E7322" w:rsidRPr="00BE730A" w:rsidRDefault="00DE7322" w:rsidP="002174C9">
                            <w:pPr>
                              <w:jc w:val="center"/>
                              <w:rPr>
                                <w:rFonts w:ascii="Times New Roman" w:hAnsi="Times New Roman" w:cs="Times New Roman"/>
                                <w:b/>
                                <w:color w:val="FFFFFF" w:themeColor="background1"/>
                                <w:sz w:val="28"/>
                                <w:szCs w:val="28"/>
                                <w:lang w:val="es-ES"/>
                              </w:rPr>
                            </w:pPr>
                            <w:r w:rsidRPr="00BE730A">
                              <w:rPr>
                                <w:rFonts w:ascii="Times New Roman" w:hAnsi="Times New Roman" w:cs="Times New Roman"/>
                                <w:b/>
                                <w:color w:val="FFFFFF" w:themeColor="background1"/>
                                <w:sz w:val="28"/>
                                <w:szCs w:val="28"/>
                                <w:lang w:val="es-ES"/>
                              </w:rPr>
                              <w:t>Á</w:t>
                            </w:r>
                            <w:r>
                              <w:rPr>
                                <w:rFonts w:ascii="Times New Roman" w:hAnsi="Times New Roman" w:cs="Times New Roman"/>
                                <w:b/>
                                <w:color w:val="FFFFFF" w:themeColor="background1"/>
                                <w:sz w:val="28"/>
                                <w:szCs w:val="28"/>
                                <w:lang w:val="es-ES"/>
                              </w:rPr>
                              <w:t>rbol de objetivos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2" o:spid="_x0000_s1343" type="#_x0000_t202" style="position:absolute;left:0;text-align:left;margin-left:81.45pt;margin-top:-4.85pt;width:273.7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" fillcolor="#4f81bd [3204]" strokecolor="#f2f2f2 [3041]" strokeweight="3pt">
                <v:shadow on="t" color="#243f60 [1604]" opacity=".5" offset="1pt"/>
                <v:textbox>
                  <w:txbxContent>
                    <w:p w:rsidR="00DE7322" w:rsidRPr="00BE730A" w:rsidRDefault="00DE7322" w:rsidP="002174C9">
                      <w:pPr>
                        <w:jc w:val="center"/>
                        <w:rPr>
                          <w:rFonts w:ascii="Times New Roman" w:hAnsi="Times New Roman" w:cs="Times New Roman"/>
                          <w:b/>
                          <w:color w:val="FFFFFF" w:themeColor="background1"/>
                          <w:sz w:val="28"/>
                          <w:szCs w:val="28"/>
                          <w:lang w:val="es-ES"/>
                        </w:rPr>
                      </w:pPr>
                      <w:r w:rsidRPr="00BE730A">
                        <w:rPr>
                          <w:rFonts w:ascii="Times New Roman" w:hAnsi="Times New Roman" w:cs="Times New Roman"/>
                          <w:b/>
                          <w:color w:val="FFFFFF" w:themeColor="background1"/>
                          <w:sz w:val="28"/>
                          <w:szCs w:val="28"/>
                          <w:lang w:val="es-ES"/>
                        </w:rPr>
                        <w:t>Á</w:t>
                      </w:r>
                      <w:r>
                        <w:rPr>
                          <w:rFonts w:ascii="Times New Roman" w:hAnsi="Times New Roman" w:cs="Times New Roman"/>
                          <w:b/>
                          <w:color w:val="FFFFFF" w:themeColor="background1"/>
                          <w:sz w:val="28"/>
                          <w:szCs w:val="28"/>
                          <w:lang w:val="es-ES"/>
                        </w:rPr>
                        <w:t>rbol de objetivos</w:t>
                      </w:r>
                    </w:p>
                  </w:txbxContent>
                </v:textbox>
                <w10:wrap type="tight"/>
              </v:shape>
            </w:pict>
          </mc:Fallback>
        </mc:AlternateContent>
      </w:r>
    </w:p>
    <w:p w:rsidR="003C7169" w:rsidRDefault="003C7169" w:rsidP="003C7169">
      <w:pPr>
        <w:jc w:val="both"/>
        <w:rPr>
          <w:rFonts w:ascii="Times New Roman" w:eastAsiaTheme="minorHAnsi" w:hAnsi="Times New Roman" w:cs="Times New Roman"/>
          <w:color w:val="000000"/>
          <w:lang w:eastAsia="en-US"/>
        </w:rPr>
      </w:pPr>
    </w:p>
    <w:p w:rsidR="00CB3FC3" w:rsidRPr="00BA20B4" w:rsidRDefault="001C5560" w:rsidP="003C7169">
      <w:pPr>
        <w:jc w:val="both"/>
        <w:rPr>
          <w:rFonts w:ascii="Times New Roman" w:eastAsiaTheme="minorHAnsi" w:hAnsi="Times New Roman" w:cs="Times New Roman"/>
          <w:color w:val="000000"/>
          <w:lang w:eastAsia="en-US"/>
        </w:rPr>
      </w:pPr>
      <w:r w:rsidRPr="00CB3FC3">
        <w:rPr>
          <w:rFonts w:ascii="Times New Roman" w:eastAsiaTheme="minorHAnsi" w:hAnsi="Times New Roman" w:cs="Times New Roman"/>
          <w:noProof/>
          <w:color w:val="000000"/>
          <w:lang w:val="es-ES" w:eastAsia="es-ES"/>
        </w:rPr>
        <w:drawing>
          <wp:inline distT="0" distB="0" distL="0" distR="0">
            <wp:extent cx="5486400" cy="4857750"/>
            <wp:effectExtent l="0" t="0" r="0" b="0"/>
            <wp:docPr id="6"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C76FC" w:rsidRDefault="00AC76FC" w:rsidP="003C7169">
      <w:pPr>
        <w:jc w:val="both"/>
        <w:rPr>
          <w:rFonts w:ascii="Times New Roman" w:hAnsi="Times New Roman"/>
        </w:rPr>
      </w:pPr>
    </w:p>
    <w:p w:rsidR="003C7169" w:rsidRPr="00BA20B4" w:rsidRDefault="003C7169" w:rsidP="003C7169">
      <w:pPr>
        <w:jc w:val="both"/>
        <w:rPr>
          <w:rFonts w:ascii="Times New Roman" w:hAnsi="Times New Roman"/>
        </w:rPr>
      </w:pPr>
      <w:r w:rsidRPr="00BA20B4">
        <w:rPr>
          <w:rFonts w:ascii="Times New Roman" w:hAnsi="Times New Roman"/>
        </w:rPr>
        <w:t>Para alcanzar l</w:t>
      </w:r>
      <w:r w:rsidR="003407E7">
        <w:rPr>
          <w:rFonts w:ascii="Times New Roman" w:hAnsi="Times New Roman"/>
        </w:rPr>
        <w:t xml:space="preserve">as </w:t>
      </w:r>
      <w:r w:rsidR="00780EC2">
        <w:rPr>
          <w:rFonts w:ascii="Times New Roman" w:hAnsi="Times New Roman"/>
        </w:rPr>
        <w:t xml:space="preserve">seis </w:t>
      </w:r>
      <w:r w:rsidR="003407E7">
        <w:rPr>
          <w:rFonts w:ascii="Times New Roman" w:hAnsi="Times New Roman"/>
        </w:rPr>
        <w:t>metas</w:t>
      </w:r>
      <w:r w:rsidRPr="00BA20B4">
        <w:rPr>
          <w:rFonts w:ascii="Times New Roman" w:hAnsi="Times New Roman"/>
        </w:rPr>
        <w:t xml:space="preserve"> de impacto</w:t>
      </w:r>
      <w:r w:rsidR="006C5926">
        <w:rPr>
          <w:rStyle w:val="Refdenotaalpie"/>
          <w:rFonts w:ascii="Times New Roman" w:hAnsi="Times New Roman"/>
        </w:rPr>
        <w:footnoteReference w:id="87"/>
      </w:r>
      <w:r w:rsidR="00C04C65">
        <w:rPr>
          <w:rFonts w:ascii="Times New Roman" w:hAnsi="Times New Roman"/>
        </w:rPr>
        <w:t xml:space="preserve"> se estableció</w:t>
      </w:r>
      <w:r w:rsidRPr="00BA20B4">
        <w:rPr>
          <w:rFonts w:ascii="Times New Roman" w:hAnsi="Times New Roman"/>
        </w:rPr>
        <w:t xml:space="preserve"> un conjunto de metas de producto y de gestión. El Plan Distrital de Desarrollo estableció</w:t>
      </w:r>
      <w:r w:rsidR="00B70BD5">
        <w:rPr>
          <w:rFonts w:ascii="Times New Roman" w:hAnsi="Times New Roman"/>
        </w:rPr>
        <w:t xml:space="preserve"> </w:t>
      </w:r>
      <w:r w:rsidR="00C40D6B">
        <w:rPr>
          <w:rFonts w:ascii="Times New Roman" w:hAnsi="Times New Roman"/>
        </w:rPr>
        <w:t xml:space="preserve">cinco </w:t>
      </w:r>
      <w:r w:rsidRPr="00BA20B4">
        <w:rPr>
          <w:rFonts w:ascii="Times New Roman" w:hAnsi="Times New Roman"/>
        </w:rPr>
        <w:t>proyectos prioritarios</w:t>
      </w:r>
      <w:r w:rsidR="00C40D6B">
        <w:rPr>
          <w:rStyle w:val="Refdenotaalpie"/>
          <w:rFonts w:ascii="Times New Roman" w:hAnsi="Times New Roman"/>
        </w:rPr>
        <w:footnoteReference w:id="88"/>
      </w:r>
      <w:r w:rsidR="0061163E">
        <w:rPr>
          <w:rFonts w:ascii="Times New Roman" w:hAnsi="Times New Roman"/>
        </w:rPr>
        <w:t>dentro de los cuales fijó 27</w:t>
      </w:r>
      <w:r w:rsidRPr="00BA20B4">
        <w:rPr>
          <w:rFonts w:ascii="Times New Roman" w:hAnsi="Times New Roman"/>
        </w:rPr>
        <w:t xml:space="preserve"> metas de resultado y/o de gestión a alcanzar durante el período de gobierno. Estos proyectos son:</w:t>
      </w:r>
    </w:p>
    <w:p w:rsidR="003C7169" w:rsidRPr="00BA20B4" w:rsidRDefault="003C7169" w:rsidP="003C7169">
      <w:pPr>
        <w:pStyle w:val="Prrafodelista"/>
        <w:numPr>
          <w:ilvl w:val="0"/>
          <w:numId w:val="4"/>
        </w:numPr>
        <w:jc w:val="both"/>
      </w:pPr>
      <w:r w:rsidRPr="00BA20B4">
        <w:lastRenderedPageBreak/>
        <w:t>Garantía del derecho con calidad, gratuidad y permanencia, con 10 metas prioritarias.</w:t>
      </w:r>
    </w:p>
    <w:p w:rsidR="003C7169" w:rsidRPr="00BA20B4" w:rsidRDefault="003C7169" w:rsidP="003C7169">
      <w:pPr>
        <w:pStyle w:val="Prrafodelista"/>
        <w:numPr>
          <w:ilvl w:val="0"/>
          <w:numId w:val="4"/>
        </w:numPr>
        <w:jc w:val="both"/>
      </w:pPr>
      <w:r w:rsidRPr="00BA20B4">
        <w:t>Jornada educativa única para la excelencia académica y la formación integral, con 3 metas prioritarias.</w:t>
      </w:r>
    </w:p>
    <w:p w:rsidR="003C7169" w:rsidRPr="00BA20B4" w:rsidRDefault="003C7169" w:rsidP="003C7169">
      <w:pPr>
        <w:pStyle w:val="Prrafodelista"/>
        <w:numPr>
          <w:ilvl w:val="0"/>
          <w:numId w:val="4"/>
        </w:numPr>
        <w:jc w:val="both"/>
      </w:pPr>
      <w:r w:rsidRPr="00BA20B4">
        <w:t>Educación media fortalecida y mayor acceso a la educación superior, con 4 metas prioritarias.</w:t>
      </w:r>
    </w:p>
    <w:p w:rsidR="003C7169" w:rsidRPr="00C40D6B" w:rsidRDefault="003C7169" w:rsidP="003C7169">
      <w:pPr>
        <w:pStyle w:val="Prrafodelista"/>
        <w:numPr>
          <w:ilvl w:val="0"/>
          <w:numId w:val="4"/>
        </w:numPr>
        <w:jc w:val="both"/>
      </w:pPr>
      <w:r w:rsidRPr="00BA20B4">
        <w:rPr>
          <w:color w:val="000000"/>
          <w:szCs w:val="20"/>
        </w:rPr>
        <w:t>Fortalecimiento de las instituciones educativas con empoderamiento ciudadano, docente, y mejoramiento de la gestión sectorial, con 7 metas prioritarias.</w:t>
      </w:r>
    </w:p>
    <w:p w:rsidR="00C40D6B" w:rsidRPr="00BA20B4" w:rsidRDefault="00C40D6B" w:rsidP="003C7169">
      <w:pPr>
        <w:pStyle w:val="Prrafodelista"/>
        <w:numPr>
          <w:ilvl w:val="0"/>
          <w:numId w:val="4"/>
        </w:numPr>
        <w:jc w:val="both"/>
      </w:pPr>
      <w:r>
        <w:rPr>
          <w:color w:val="000000"/>
          <w:szCs w:val="20"/>
        </w:rPr>
        <w:t>Atención a</w:t>
      </w:r>
      <w:r w:rsidR="001B212A">
        <w:rPr>
          <w:color w:val="000000"/>
          <w:szCs w:val="20"/>
        </w:rPr>
        <w:t>l desarrollo integral de</w:t>
      </w:r>
      <w:r>
        <w:rPr>
          <w:color w:val="000000"/>
          <w:szCs w:val="20"/>
        </w:rPr>
        <w:t xml:space="preserve"> la primera infancia</w:t>
      </w:r>
      <w:r w:rsidR="0061163E">
        <w:rPr>
          <w:color w:val="000000"/>
          <w:szCs w:val="20"/>
        </w:rPr>
        <w:t>, con 3 metas prioritarias.</w:t>
      </w:r>
    </w:p>
    <w:p w:rsidR="00106DEF" w:rsidRDefault="00106DEF" w:rsidP="005A5B0C">
      <w:pPr>
        <w:rPr>
          <w:rFonts w:ascii="Times New Roman" w:hAnsi="Times New Roman"/>
        </w:rPr>
      </w:pPr>
    </w:p>
    <w:p w:rsidR="001D41F2" w:rsidRPr="00666BB4" w:rsidRDefault="001D41F2" w:rsidP="00666BB4">
      <w:pPr>
        <w:pStyle w:val="Ttulo3"/>
        <w:rPr>
          <w:rFonts w:ascii="Times New Roman" w:hAnsi="Times New Roman"/>
        </w:rPr>
      </w:pPr>
      <w:bookmarkStart w:id="27" w:name="_Toc362358047"/>
      <w:r w:rsidRPr="00666BB4">
        <w:rPr>
          <w:rFonts w:ascii="Times New Roman" w:hAnsi="Times New Roman"/>
        </w:rPr>
        <w:t>3.2. Las metas del plan sectorial</w:t>
      </w:r>
      <w:bookmarkEnd w:id="27"/>
    </w:p>
    <w:p w:rsidR="009363C6" w:rsidRDefault="009363C6" w:rsidP="005673D2">
      <w:pPr>
        <w:jc w:val="both"/>
        <w:rPr>
          <w:rFonts w:ascii="Times New Roman" w:hAnsi="Times New Roman"/>
        </w:rPr>
      </w:pPr>
    </w:p>
    <w:p w:rsidR="005673D2" w:rsidRPr="00BA20B4" w:rsidRDefault="009363C6" w:rsidP="009363C6">
      <w:pPr>
        <w:jc w:val="both"/>
        <w:rPr>
          <w:rFonts w:ascii="Times New Roman" w:hAnsi="Times New Roman"/>
        </w:rPr>
      </w:pPr>
      <w:r>
        <w:rPr>
          <w:rFonts w:ascii="Times New Roman" w:hAnsi="Times New Roman"/>
        </w:rPr>
        <w:t xml:space="preserve">En la tabla siguiente se presentan </w:t>
      </w:r>
      <w:r w:rsidR="005673D2" w:rsidRPr="00BA20B4">
        <w:rPr>
          <w:rFonts w:ascii="Times New Roman" w:hAnsi="Times New Roman"/>
        </w:rPr>
        <w:t>los objetivos y metas de impacto del plan sectorial, incluyendo dentro de cada una de ellas las metas de producto y de insumo, así como las metas transversales de gestión.</w:t>
      </w:r>
      <w:r w:rsidR="005673D2" w:rsidRPr="00BA20B4">
        <w:rPr>
          <w:rStyle w:val="Refdenotaalpie"/>
          <w:rFonts w:ascii="Times New Roman" w:hAnsi="Times New Roman"/>
        </w:rPr>
        <w:footnoteReference w:id="89"/>
      </w:r>
      <w:r w:rsidR="005673D2" w:rsidRPr="00BA20B4">
        <w:rPr>
          <w:rFonts w:ascii="Times New Roman" w:hAnsi="Times New Roman"/>
        </w:rPr>
        <w:t xml:space="preserve"> Las metas de producto son los medios para alcanzar los impactos y a su vez requieren de metas de gestión. </w:t>
      </w:r>
    </w:p>
    <w:p w:rsidR="00C40D6B" w:rsidRPr="00BA20B4" w:rsidRDefault="00C40D6B" w:rsidP="005A5B0C">
      <w:pPr>
        <w:rPr>
          <w:rFonts w:ascii="Times New Roman" w:hAnsi="Times New Roman"/>
        </w:rPr>
      </w:pPr>
    </w:p>
    <w:tbl>
      <w:tblPr>
        <w:tblStyle w:val="Tablaconcuadrcula"/>
        <w:tblW w:w="9056" w:type="dxa"/>
        <w:tblLook w:val="00A0" w:firstRow="1" w:lastRow="0" w:firstColumn="1" w:lastColumn="0" w:noHBand="0" w:noVBand="0"/>
      </w:tblPr>
      <w:tblGrid>
        <w:gridCol w:w="1341"/>
        <w:gridCol w:w="1819"/>
        <w:gridCol w:w="3522"/>
        <w:gridCol w:w="2374"/>
      </w:tblGrid>
      <w:tr w:rsidR="00961A88" w:rsidRPr="00BA20B4">
        <w:tc>
          <w:tcPr>
            <w:tcW w:w="1341" w:type="dxa"/>
          </w:tcPr>
          <w:p w:rsidR="00961A88" w:rsidRPr="00BA20B4" w:rsidRDefault="00961A88" w:rsidP="00975EF2">
            <w:pPr>
              <w:rPr>
                <w:rFonts w:ascii="Times New Roman" w:hAnsi="Times New Roman"/>
                <w:b/>
                <w:sz w:val="16"/>
              </w:rPr>
            </w:pPr>
            <w:r w:rsidRPr="00BA20B4">
              <w:rPr>
                <w:rFonts w:ascii="Times New Roman" w:hAnsi="Times New Roman"/>
                <w:b/>
                <w:sz w:val="16"/>
              </w:rPr>
              <w:t>Impacto</w:t>
            </w:r>
          </w:p>
        </w:tc>
        <w:tc>
          <w:tcPr>
            <w:tcW w:w="1819" w:type="dxa"/>
          </w:tcPr>
          <w:p w:rsidR="00961A88" w:rsidRPr="00BA20B4" w:rsidRDefault="00961A88" w:rsidP="00975EF2">
            <w:pPr>
              <w:rPr>
                <w:rFonts w:ascii="Times New Roman" w:hAnsi="Times New Roman"/>
                <w:b/>
                <w:sz w:val="16"/>
              </w:rPr>
            </w:pPr>
            <w:r w:rsidRPr="00BA20B4">
              <w:rPr>
                <w:rFonts w:ascii="Times New Roman" w:hAnsi="Times New Roman"/>
                <w:b/>
                <w:sz w:val="16"/>
              </w:rPr>
              <w:t>Metas de impacto</w:t>
            </w:r>
          </w:p>
        </w:tc>
        <w:tc>
          <w:tcPr>
            <w:tcW w:w="3522" w:type="dxa"/>
          </w:tcPr>
          <w:p w:rsidR="00961A88" w:rsidRPr="00BA20B4" w:rsidRDefault="00961A88" w:rsidP="00975EF2">
            <w:pPr>
              <w:rPr>
                <w:rFonts w:ascii="Times New Roman" w:hAnsi="Times New Roman"/>
                <w:b/>
                <w:sz w:val="16"/>
              </w:rPr>
            </w:pPr>
            <w:r w:rsidRPr="00BA20B4">
              <w:rPr>
                <w:rFonts w:ascii="Times New Roman" w:hAnsi="Times New Roman"/>
                <w:b/>
                <w:sz w:val="16"/>
              </w:rPr>
              <w:t>Metas de producto</w:t>
            </w:r>
          </w:p>
        </w:tc>
        <w:tc>
          <w:tcPr>
            <w:tcW w:w="2374" w:type="dxa"/>
          </w:tcPr>
          <w:p w:rsidR="00961A88" w:rsidRPr="00BA20B4" w:rsidRDefault="00961A88" w:rsidP="00975EF2">
            <w:pPr>
              <w:rPr>
                <w:rFonts w:ascii="Times New Roman" w:hAnsi="Times New Roman"/>
                <w:b/>
                <w:sz w:val="16"/>
              </w:rPr>
            </w:pPr>
            <w:r w:rsidRPr="00BA20B4">
              <w:rPr>
                <w:rFonts w:ascii="Times New Roman" w:hAnsi="Times New Roman"/>
                <w:b/>
                <w:sz w:val="16"/>
              </w:rPr>
              <w:t>Metas de insumos</w:t>
            </w:r>
          </w:p>
        </w:tc>
      </w:tr>
      <w:tr w:rsidR="00961A88" w:rsidRPr="00BA20B4">
        <w:tc>
          <w:tcPr>
            <w:tcW w:w="1341" w:type="dxa"/>
          </w:tcPr>
          <w:p w:rsidR="00961A88" w:rsidRPr="00BA20B4" w:rsidRDefault="00961A88" w:rsidP="00975EF2">
            <w:pPr>
              <w:rPr>
                <w:rFonts w:ascii="Times New Roman" w:hAnsi="Times New Roman"/>
                <w:sz w:val="16"/>
              </w:rPr>
            </w:pPr>
            <w:r w:rsidRPr="00BA20B4">
              <w:rPr>
                <w:rFonts w:ascii="Times New Roman" w:hAnsi="Times New Roman"/>
                <w:sz w:val="16"/>
              </w:rPr>
              <w:t>Objetivo de Impacto No 1. Aumentar la cobertura del servicio educativo en todos los niveles y reducir la deserción de los estudiantes</w:t>
            </w:r>
          </w:p>
          <w:p w:rsidR="00961A88" w:rsidRPr="00BA20B4" w:rsidRDefault="00961A88" w:rsidP="00975EF2">
            <w:pPr>
              <w:rPr>
                <w:rFonts w:ascii="Times New Roman" w:hAnsi="Times New Roman"/>
                <w:b/>
                <w:sz w:val="16"/>
              </w:rPr>
            </w:pPr>
          </w:p>
        </w:tc>
        <w:tc>
          <w:tcPr>
            <w:tcW w:w="1819" w:type="dxa"/>
          </w:tcPr>
          <w:p w:rsidR="00961A88" w:rsidRPr="00BA20B4" w:rsidRDefault="00961A88" w:rsidP="00975EF2">
            <w:pPr>
              <w:rPr>
                <w:rFonts w:ascii="Times New Roman" w:hAnsi="Times New Roman"/>
                <w:sz w:val="16"/>
              </w:rPr>
            </w:pPr>
            <w:r>
              <w:rPr>
                <w:rFonts w:ascii="Times New Roman" w:hAnsi="Times New Roman"/>
                <w:sz w:val="16"/>
              </w:rPr>
              <w:t>1</w:t>
            </w:r>
            <w:r w:rsidR="00935C24">
              <w:rPr>
                <w:rFonts w:ascii="Times New Roman" w:hAnsi="Times New Roman"/>
                <w:sz w:val="16"/>
              </w:rPr>
              <w:t xml:space="preserve">. </w:t>
            </w:r>
            <w:r w:rsidRPr="00BA20B4">
              <w:rPr>
                <w:rFonts w:ascii="Times New Roman" w:hAnsi="Times New Roman"/>
                <w:sz w:val="16"/>
              </w:rPr>
              <w:t xml:space="preserve">Incrementar la tasa de cobertura neta en 3 puntos porcentuales para los estudiantes de estratos 1 y 2 que asisten a los niveles de escolaridad en el rango de población de </w:t>
            </w:r>
            <w:r>
              <w:rPr>
                <w:rFonts w:ascii="Times New Roman" w:hAnsi="Times New Roman"/>
                <w:sz w:val="16"/>
              </w:rPr>
              <w:t>5</w:t>
            </w:r>
            <w:r w:rsidRPr="00BA20B4">
              <w:rPr>
                <w:rFonts w:ascii="Times New Roman" w:hAnsi="Times New Roman"/>
                <w:sz w:val="16"/>
              </w:rPr>
              <w:t xml:space="preserve"> a 21 años.</w:t>
            </w:r>
          </w:p>
          <w:p w:rsidR="00961A88" w:rsidRPr="00BA20B4" w:rsidRDefault="00961A88" w:rsidP="00975EF2">
            <w:pPr>
              <w:rPr>
                <w:rFonts w:ascii="Times New Roman" w:hAnsi="Times New Roman"/>
                <w:sz w:val="16"/>
              </w:rPr>
            </w:pPr>
          </w:p>
          <w:p w:rsidR="00961A88" w:rsidRPr="00BA20B4" w:rsidRDefault="00961A88" w:rsidP="00975EF2">
            <w:pPr>
              <w:rPr>
                <w:rFonts w:ascii="Times New Roman" w:hAnsi="Times New Roman"/>
                <w:sz w:val="16"/>
              </w:rPr>
            </w:pPr>
            <w:r>
              <w:rPr>
                <w:rFonts w:ascii="Times New Roman" w:hAnsi="Times New Roman"/>
                <w:sz w:val="16"/>
              </w:rPr>
              <w:t>2</w:t>
            </w:r>
            <w:r w:rsidR="00935C24">
              <w:rPr>
                <w:rFonts w:ascii="Times New Roman" w:hAnsi="Times New Roman"/>
                <w:sz w:val="16"/>
              </w:rPr>
              <w:t xml:space="preserve">. </w:t>
            </w:r>
            <w:r w:rsidRPr="00BA20B4">
              <w:rPr>
                <w:rFonts w:ascii="Times New Roman" w:hAnsi="Times New Roman"/>
                <w:sz w:val="16"/>
              </w:rPr>
              <w:t>Reducir al 2,4% la tasa de deserción en los colegios distritales</w:t>
            </w:r>
          </w:p>
          <w:p w:rsidR="00B303E1" w:rsidRDefault="00B303E1" w:rsidP="00B14E8F">
            <w:pPr>
              <w:rPr>
                <w:rFonts w:ascii="Times New Roman" w:hAnsi="Times New Roman"/>
                <w:b/>
                <w:sz w:val="16"/>
              </w:rPr>
            </w:pPr>
          </w:p>
          <w:p w:rsidR="00961A88" w:rsidRPr="00BA20B4" w:rsidRDefault="00961A88" w:rsidP="00B14E8F">
            <w:pPr>
              <w:rPr>
                <w:rFonts w:ascii="Times New Roman" w:hAnsi="Times New Roman"/>
                <w:b/>
                <w:sz w:val="16"/>
              </w:rPr>
            </w:pPr>
          </w:p>
        </w:tc>
        <w:tc>
          <w:tcPr>
            <w:tcW w:w="3522" w:type="dxa"/>
          </w:tcPr>
          <w:p w:rsidR="00961A88" w:rsidRPr="00BA20B4" w:rsidRDefault="00632A3F" w:rsidP="0045187E">
            <w:pPr>
              <w:jc w:val="both"/>
              <w:rPr>
                <w:rFonts w:ascii="Times New Roman" w:hAnsi="Times New Roman"/>
                <w:sz w:val="16"/>
              </w:rPr>
            </w:pPr>
            <w:r>
              <w:rPr>
                <w:rFonts w:ascii="Times New Roman" w:hAnsi="Times New Roman"/>
                <w:color w:val="000000"/>
                <w:sz w:val="16"/>
                <w:szCs w:val="20"/>
              </w:rPr>
              <w:t xml:space="preserve">-Un millón de niños, niñas </w:t>
            </w:r>
            <w:r w:rsidR="00961A88" w:rsidRPr="00BA20B4">
              <w:rPr>
                <w:rFonts w:ascii="Times New Roman" w:hAnsi="Times New Roman"/>
                <w:color w:val="000000"/>
                <w:sz w:val="16"/>
                <w:szCs w:val="20"/>
              </w:rPr>
              <w:t>matriculados con gratuidad y calidad desde pre-jardín hasta grado 12, incrementando gradualmente la participación de los colegios oficiales, reduciendo los cupos mediante convenios con colegios privados y manteniendo los cupos en colegios en concesión.</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-30.00</w:t>
            </w:r>
            <w:r w:rsidR="00264AE1">
              <w:rPr>
                <w:rFonts w:ascii="Times New Roman" w:hAnsi="Times New Roman"/>
                <w:color w:val="000000"/>
                <w:sz w:val="16"/>
                <w:szCs w:val="20"/>
              </w:rPr>
              <w:t>0  nuevos cupos  en educación pú</w:t>
            </w:r>
            <w:r w:rsidRPr="00BA20B4">
              <w:rPr>
                <w:rFonts w:ascii="Times New Roman" w:hAnsi="Times New Roman"/>
                <w:color w:val="000000"/>
                <w:sz w:val="16"/>
                <w:szCs w:val="20"/>
              </w:rPr>
              <w:t>blica distrital superior universitaria y/o tecnológica para estudiantes de estratos 1, 2 y 3</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-890.000 estudiantes de colegios oficiales beneficiados con alimentación escolar</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-90.000 estudiantes apoyados con transporte escolar  casa- colegio-casa</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-16.000 estudiantes reciben subsidios condicionados a su permanencia</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-100% de los estudiantes cubiertos con seguro de salud</w:t>
            </w:r>
          </w:p>
          <w:p w:rsidR="00961A88" w:rsidRPr="00BA20B4" w:rsidRDefault="00961A88" w:rsidP="00C61962">
            <w:pPr>
              <w:jc w:val="both"/>
              <w:rPr>
                <w:rFonts w:ascii="Times New Roman" w:hAnsi="Times New Roman"/>
                <w:b/>
                <w:sz w:val="16"/>
              </w:rPr>
            </w:pPr>
            <w:r w:rsidRPr="00BA20B4">
              <w:rPr>
                <w:rFonts w:ascii="Times New Roman" w:hAnsi="Times New Roman"/>
                <w:color w:val="000000"/>
                <w:sz w:val="16"/>
                <w:szCs w:val="20"/>
              </w:rPr>
              <w:t>-100% de los colegios atienden a la población escolar con  perspectiva de género y enfoque diferencial para una escuela libre de discriminación teniendo en cuenta:  víctimas del conflicto armado, en condición de discapacidad, grupos étnicos, orientación sexuales diversas y grupos etarios</w:t>
            </w:r>
            <w:r w:rsidR="00C61962">
              <w:rPr>
                <w:rFonts w:ascii="Times New Roman" w:hAnsi="Times New Roman"/>
                <w:color w:val="000000"/>
                <w:sz w:val="16"/>
                <w:szCs w:val="20"/>
              </w:rPr>
              <w:t>.</w:t>
            </w:r>
          </w:p>
        </w:tc>
        <w:tc>
          <w:tcPr>
            <w:tcW w:w="2374" w:type="dxa"/>
          </w:tcPr>
          <w:p w:rsidR="00961A88" w:rsidRPr="00BA20B4" w:rsidRDefault="00961A88" w:rsidP="00C61962">
            <w:pPr>
              <w:jc w:val="both"/>
              <w:rPr>
                <w:rFonts w:ascii="Times New Roman" w:hAnsi="Times New Roman"/>
                <w:sz w:val="16"/>
              </w:rPr>
            </w:pPr>
            <w:r w:rsidRPr="00BA20B4">
              <w:rPr>
                <w:rFonts w:ascii="Times New Roman" w:hAnsi="Times New Roman"/>
                <w:sz w:val="16"/>
              </w:rPr>
              <w:t>-Aumentar la planta docente del distrito en 8.000 mil docentes profesionales y 1.700 docentes auxiliares</w:t>
            </w:r>
          </w:p>
          <w:p w:rsidR="00C61962"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-Construir o adecuar 86  colegios nuevos (30 en lotes nuevos y 56 restituidos en predios preexistentes</w:t>
            </w:r>
            <w:r w:rsidR="00C61962">
              <w:rPr>
                <w:rFonts w:ascii="Times New Roman" w:hAnsi="Times New Roman"/>
                <w:color w:val="000000"/>
                <w:sz w:val="16"/>
                <w:szCs w:val="20"/>
              </w:rPr>
              <w:t>)</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-Terminar 39 colegios que se encuentran inconclusos</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-Ampliar y adecuar 40 sedes</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-Realizar el saneamiento de predios en 50 plantas físicas y/o lotes</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-Dotar 64 sedes educativas</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 xml:space="preserve">-Construcción de </w:t>
            </w:r>
            <w:r w:rsidR="005A381F">
              <w:rPr>
                <w:rFonts w:ascii="Times New Roman" w:hAnsi="Times New Roman"/>
                <w:color w:val="000000"/>
                <w:sz w:val="16"/>
                <w:szCs w:val="20"/>
              </w:rPr>
              <w:t xml:space="preserve">al menos 2 nuevas sedes para </w:t>
            </w:r>
            <w:r w:rsidRPr="00BA20B4">
              <w:rPr>
                <w:rFonts w:ascii="Times New Roman" w:hAnsi="Times New Roman"/>
                <w:color w:val="000000"/>
                <w:sz w:val="16"/>
                <w:szCs w:val="20"/>
              </w:rPr>
              <w:t>Universidad</w:t>
            </w:r>
            <w:r w:rsidR="005A381F">
              <w:rPr>
                <w:rFonts w:ascii="Times New Roman" w:hAnsi="Times New Roman"/>
                <w:color w:val="000000"/>
                <w:sz w:val="16"/>
                <w:szCs w:val="20"/>
              </w:rPr>
              <w:t>es públicas del Distrito</w:t>
            </w:r>
          </w:p>
          <w:p w:rsidR="00961A88" w:rsidRDefault="00961A88" w:rsidP="00C61962">
            <w:pPr>
              <w:jc w:val="both"/>
              <w:rPr>
                <w:rFonts w:ascii="Times New Roman" w:hAnsi="Times New Roman"/>
                <w:b/>
                <w:sz w:val="16"/>
                <w:szCs w:val="24"/>
                <w:lang w:val="es-ES_tradnl"/>
              </w:rPr>
            </w:pPr>
            <w:r w:rsidRPr="00BA20B4">
              <w:rPr>
                <w:rFonts w:ascii="Times New Roman" w:hAnsi="Times New Roman"/>
                <w:color w:val="000000"/>
                <w:sz w:val="16"/>
                <w:szCs w:val="20"/>
              </w:rPr>
              <w:t>-Mejorar el proceso de matrícula</w:t>
            </w:r>
          </w:p>
        </w:tc>
      </w:tr>
      <w:tr w:rsidR="00961A88" w:rsidRPr="00BA20B4">
        <w:tc>
          <w:tcPr>
            <w:tcW w:w="1341" w:type="dxa"/>
          </w:tcPr>
          <w:p w:rsidR="00961A88" w:rsidRPr="00BA20B4" w:rsidRDefault="00961A88" w:rsidP="00975EF2">
            <w:pPr>
              <w:rPr>
                <w:rFonts w:ascii="Times New Roman" w:hAnsi="Times New Roman"/>
                <w:sz w:val="16"/>
              </w:rPr>
            </w:pPr>
            <w:r w:rsidRPr="00BA20B4">
              <w:rPr>
                <w:rFonts w:ascii="Times New Roman" w:hAnsi="Times New Roman"/>
                <w:sz w:val="16"/>
              </w:rPr>
              <w:t>Objetivo de impacto No 2. Mejorar los resultados de la educación formal</w:t>
            </w:r>
          </w:p>
          <w:p w:rsidR="00961A88" w:rsidRPr="00BA20B4" w:rsidRDefault="00961A88" w:rsidP="00975EF2">
            <w:pPr>
              <w:rPr>
                <w:rFonts w:ascii="Times New Roman" w:hAnsi="Times New Roman"/>
                <w:b/>
                <w:sz w:val="16"/>
              </w:rPr>
            </w:pPr>
          </w:p>
        </w:tc>
        <w:tc>
          <w:tcPr>
            <w:tcW w:w="1819" w:type="dxa"/>
          </w:tcPr>
          <w:p w:rsidR="00961A88" w:rsidRPr="00BA20B4" w:rsidRDefault="00961A88" w:rsidP="00975EF2">
            <w:pPr>
              <w:rPr>
                <w:rFonts w:ascii="Times New Roman" w:hAnsi="Times New Roman"/>
                <w:color w:val="000000"/>
                <w:sz w:val="16"/>
                <w:szCs w:val="20"/>
              </w:rPr>
            </w:pPr>
            <w:r>
              <w:rPr>
                <w:rFonts w:ascii="Times New Roman" w:hAnsi="Times New Roman"/>
                <w:color w:val="000000"/>
                <w:sz w:val="16"/>
                <w:szCs w:val="20"/>
              </w:rPr>
              <w:t>3</w:t>
            </w:r>
            <w:r w:rsidR="00C61962">
              <w:rPr>
                <w:rFonts w:ascii="Times New Roman" w:hAnsi="Times New Roman"/>
                <w:color w:val="000000"/>
                <w:sz w:val="16"/>
                <w:szCs w:val="20"/>
              </w:rPr>
              <w:t>.</w:t>
            </w:r>
            <w:r w:rsidRPr="00BA20B4">
              <w:rPr>
                <w:rFonts w:ascii="Times New Roman" w:hAnsi="Times New Roman"/>
                <w:color w:val="000000"/>
                <w:sz w:val="16"/>
                <w:szCs w:val="20"/>
              </w:rPr>
              <w:t>Disminuir en 5% la brecha entre los colegios-jornadas distritales y los colegios del sector privado, clasificados en las categorías muy superior, superior y alto, en las pruebas ICFES SABER 11.</w:t>
            </w:r>
          </w:p>
          <w:p w:rsidR="00961A88" w:rsidRPr="00BA20B4" w:rsidRDefault="00961A88" w:rsidP="00975EF2">
            <w:pPr>
              <w:rPr>
                <w:rFonts w:ascii="Times New Roman" w:hAnsi="Times New Roman"/>
                <w:b/>
                <w:sz w:val="16"/>
              </w:rPr>
            </w:pPr>
          </w:p>
        </w:tc>
        <w:tc>
          <w:tcPr>
            <w:tcW w:w="3522" w:type="dxa"/>
          </w:tcPr>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-100% de los colegios (360) y ciclos fortalecidos curricularmente en lectoescritura, matemáticas y ciencias naturales y sociales</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-100% de los colegios con educación ambiental, programas de articulación con la ciudad e incorporación de tecnologías de la comunicación.</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-100 colegios con centros de idiomas e intensificación del aprendizaje de una segunda lengua desde preescolar</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-100 colegios con bibliotecas escolares dotadas y funcionando adecuadamente</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 xml:space="preserve">-Garantizar que 250.000 </w:t>
            </w:r>
            <w:r w:rsidR="00632A3F">
              <w:rPr>
                <w:rFonts w:ascii="Times New Roman" w:hAnsi="Times New Roman"/>
                <w:color w:val="000000"/>
                <w:sz w:val="16"/>
                <w:szCs w:val="20"/>
              </w:rPr>
              <w:t xml:space="preserve">niños/as </w:t>
            </w:r>
            <w:r w:rsidRPr="00BA20B4">
              <w:rPr>
                <w:rFonts w:ascii="Times New Roman" w:hAnsi="Times New Roman"/>
                <w:color w:val="000000"/>
                <w:sz w:val="16"/>
                <w:szCs w:val="20"/>
              </w:rPr>
              <w:t>se beneficien con una jornada escolar de 40 horas semanales</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 xml:space="preserve">-Implementar en 100 colegios cuarenta (40) horas </w:t>
            </w:r>
            <w:r w:rsidRPr="00BA20B4">
              <w:rPr>
                <w:rFonts w:ascii="Times New Roman" w:hAnsi="Times New Roman"/>
                <w:color w:val="000000"/>
                <w:sz w:val="16"/>
                <w:szCs w:val="20"/>
              </w:rPr>
              <w:lastRenderedPageBreak/>
              <w:t>semanales de clase, 50 de ellos en jornada única</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-400 organizaciones y colectivos artísticos, recreativos y deportivos vinculados a la jornada única</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-Garantizar que 80.000 estudiantes de grados 10 y 11 reciben educación media diversa homologable con educación superior.</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-25.000 estudiantes que han optado por grado 12</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-Implementar en el 100% de los colegios distritales programas integrales de ciudadanía y convivencia, en concordancia con el Acuerdo 449 de 2010</w:t>
            </w:r>
          </w:p>
          <w:p w:rsidR="00961A88" w:rsidRPr="00BA20B4" w:rsidRDefault="00961A88" w:rsidP="00975EF2">
            <w:pPr>
              <w:rPr>
                <w:rFonts w:ascii="Times New Roman" w:hAnsi="Times New Roman"/>
                <w:b/>
                <w:sz w:val="16"/>
              </w:rPr>
            </w:pPr>
          </w:p>
        </w:tc>
        <w:tc>
          <w:tcPr>
            <w:tcW w:w="2374" w:type="dxa"/>
          </w:tcPr>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lastRenderedPageBreak/>
              <w:t>-Modelo de acreditación institucional para la calidad diseñado e implementado en el 20% de los colegios de la ciudad, incluyendo instituciones oficiales y no oficiales</w:t>
            </w:r>
            <w:r w:rsidR="00D06E73">
              <w:rPr>
                <w:rFonts w:ascii="Times New Roman" w:hAnsi="Times New Roman"/>
                <w:color w:val="000000"/>
                <w:sz w:val="16"/>
                <w:szCs w:val="20"/>
              </w:rPr>
              <w:t>.</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-30% de los docentes y/o directivos docentes con formación de excelencia en doctorados, maestrías y especializaciones</w:t>
            </w:r>
            <w:r w:rsidR="00D06E73">
              <w:rPr>
                <w:rFonts w:ascii="Times New Roman" w:hAnsi="Times New Roman"/>
                <w:color w:val="000000"/>
                <w:sz w:val="16"/>
                <w:szCs w:val="20"/>
              </w:rPr>
              <w:t>.</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 xml:space="preserve">-3.000 docentes beneficiados con incentivos adicionales a  los hasta ahora previstos en la </w:t>
            </w:r>
            <w:r w:rsidRPr="00BA20B4">
              <w:rPr>
                <w:rFonts w:ascii="Times New Roman" w:hAnsi="Times New Roman"/>
                <w:color w:val="000000"/>
                <w:sz w:val="16"/>
                <w:szCs w:val="20"/>
              </w:rPr>
              <w:lastRenderedPageBreak/>
              <w:t>norma</w:t>
            </w:r>
            <w:r w:rsidR="00D06E73">
              <w:rPr>
                <w:rFonts w:ascii="Times New Roman" w:hAnsi="Times New Roman"/>
                <w:color w:val="000000"/>
                <w:sz w:val="16"/>
                <w:szCs w:val="20"/>
              </w:rPr>
              <w:t>.</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-100% de docentes beneficiados con programas de bienestar, salud ocupacional y perspectiva de género</w:t>
            </w:r>
          </w:p>
          <w:p w:rsidR="00961A88" w:rsidRPr="00BA20B4" w:rsidRDefault="00961A88" w:rsidP="00C61962">
            <w:pPr>
              <w:jc w:val="both"/>
              <w:rPr>
                <w:rFonts w:ascii="Times New Roman" w:hAnsi="Times New Roman"/>
                <w:color w:val="000000"/>
                <w:sz w:val="16"/>
                <w:szCs w:val="20"/>
              </w:rPr>
            </w:pPr>
            <w:r w:rsidRPr="00BA20B4">
              <w:rPr>
                <w:rFonts w:ascii="Times New Roman" w:hAnsi="Times New Roman"/>
                <w:color w:val="000000"/>
                <w:sz w:val="16"/>
                <w:szCs w:val="20"/>
              </w:rPr>
              <w:t>-100% de los colegios con acceso a internet de alta velocidad (mínimo 30 MB),  650 sedes con cableado de fibra óptica</w:t>
            </w:r>
            <w:r w:rsidR="00D06E73">
              <w:rPr>
                <w:rFonts w:ascii="Times New Roman" w:hAnsi="Times New Roman"/>
                <w:color w:val="000000"/>
                <w:sz w:val="16"/>
                <w:szCs w:val="20"/>
              </w:rPr>
              <w:t>.</w:t>
            </w:r>
          </w:p>
          <w:p w:rsidR="00B43406" w:rsidRDefault="00B43406" w:rsidP="00B43406">
            <w:pPr>
              <w:rPr>
                <w:rFonts w:ascii="Times New Roman" w:hAnsi="Times New Roman"/>
                <w:sz w:val="16"/>
              </w:rPr>
            </w:pPr>
            <w:r w:rsidRPr="00E5280A">
              <w:rPr>
                <w:rFonts w:ascii="Times New Roman" w:hAnsi="Times New Roman"/>
                <w:sz w:val="16"/>
              </w:rPr>
              <w:t xml:space="preserve">- 100% de los colegios y direcciones locales fortalecidos con un modelo de desconcentración de la gestión </w:t>
            </w:r>
          </w:p>
          <w:p w:rsidR="00B43406" w:rsidRPr="00E5280A" w:rsidRDefault="00B43406" w:rsidP="00B43406">
            <w:pPr>
              <w:rPr>
                <w:rFonts w:ascii="Times New Roman" w:hAnsi="Times New Roman"/>
                <w:sz w:val="16"/>
              </w:rPr>
            </w:pPr>
            <w:r>
              <w:rPr>
                <w:rFonts w:ascii="Times New Roman" w:hAnsi="Times New Roman"/>
                <w:sz w:val="16"/>
              </w:rPr>
              <w:t xml:space="preserve">- </w:t>
            </w:r>
            <w:r w:rsidRPr="00E5280A">
              <w:rPr>
                <w:rFonts w:ascii="Times New Roman" w:hAnsi="Times New Roman"/>
                <w:sz w:val="16"/>
              </w:rPr>
              <w:t>Sistema de evaluación de la calidad de la educación unificado y de monitoreo al Plan Sectorial de Educación</w:t>
            </w:r>
          </w:p>
          <w:p w:rsidR="00961A88" w:rsidRPr="00BA20B4" w:rsidRDefault="00961A88" w:rsidP="00975EF2">
            <w:pPr>
              <w:rPr>
                <w:rFonts w:ascii="Times New Roman" w:hAnsi="Times New Roman"/>
                <w:b/>
                <w:sz w:val="16"/>
              </w:rPr>
            </w:pPr>
          </w:p>
        </w:tc>
      </w:tr>
      <w:tr w:rsidR="00961A88" w:rsidRPr="00BA20B4">
        <w:tc>
          <w:tcPr>
            <w:tcW w:w="1341" w:type="dxa"/>
          </w:tcPr>
          <w:p w:rsidR="00961A88" w:rsidRPr="00BA20B4" w:rsidRDefault="00961A88" w:rsidP="00975EF2">
            <w:pPr>
              <w:rPr>
                <w:rFonts w:ascii="Times New Roman" w:hAnsi="Times New Roman"/>
                <w:sz w:val="16"/>
              </w:rPr>
            </w:pPr>
            <w:r w:rsidRPr="00BA20B4">
              <w:rPr>
                <w:rFonts w:ascii="Times New Roman" w:hAnsi="Times New Roman"/>
                <w:sz w:val="16"/>
              </w:rPr>
              <w:lastRenderedPageBreak/>
              <w:t>Objetivo de impacto No 3</w:t>
            </w:r>
          </w:p>
        </w:tc>
        <w:tc>
          <w:tcPr>
            <w:tcW w:w="1819" w:type="dxa"/>
          </w:tcPr>
          <w:p w:rsidR="00961A88" w:rsidRPr="00BA20B4" w:rsidRDefault="00961A88" w:rsidP="004F70FD">
            <w:pPr>
              <w:jc w:val="both"/>
              <w:rPr>
                <w:rFonts w:ascii="Times New Roman" w:hAnsi="Times New Roman"/>
                <w:color w:val="000000"/>
                <w:sz w:val="16"/>
                <w:szCs w:val="20"/>
              </w:rPr>
            </w:pPr>
            <w:r>
              <w:rPr>
                <w:rFonts w:ascii="Times New Roman" w:hAnsi="Times New Roman"/>
                <w:color w:val="000000"/>
                <w:sz w:val="16"/>
                <w:szCs w:val="20"/>
              </w:rPr>
              <w:t xml:space="preserve">4. </w:t>
            </w:r>
            <w:r w:rsidRPr="00C04C65">
              <w:rPr>
                <w:rFonts w:ascii="Times New Roman" w:hAnsi="Times New Roman"/>
                <w:color w:val="000000"/>
                <w:sz w:val="16"/>
                <w:szCs w:val="20"/>
              </w:rPr>
              <w:t>Aumentar en</w:t>
            </w:r>
            <w:r w:rsidR="00B303E1" w:rsidRPr="00C04C65">
              <w:rPr>
                <w:rFonts w:ascii="Times New Roman" w:hAnsi="Times New Roman"/>
                <w:color w:val="000000"/>
                <w:sz w:val="16"/>
                <w:szCs w:val="20"/>
              </w:rPr>
              <w:t xml:space="preserve"> al menos</w:t>
            </w:r>
            <w:r w:rsidRPr="00BA20B4">
              <w:rPr>
                <w:rFonts w:ascii="Times New Roman" w:hAnsi="Times New Roman"/>
                <w:color w:val="000000"/>
                <w:sz w:val="16"/>
                <w:szCs w:val="20"/>
              </w:rPr>
              <w:t xml:space="preserve"> un 10% la participación en organizaciones sociales de las personas entre 10 y 21 años</w:t>
            </w:r>
          </w:p>
        </w:tc>
        <w:tc>
          <w:tcPr>
            <w:tcW w:w="3522" w:type="dxa"/>
          </w:tcPr>
          <w:p w:rsidR="00D06E73" w:rsidRPr="00BA20B4" w:rsidRDefault="00D06E73" w:rsidP="00D06E73">
            <w:pPr>
              <w:rPr>
                <w:rFonts w:ascii="Times New Roman" w:hAnsi="Times New Roman"/>
                <w:color w:val="000000"/>
                <w:sz w:val="16"/>
                <w:szCs w:val="20"/>
              </w:rPr>
            </w:pPr>
            <w:r w:rsidRPr="00BA20B4">
              <w:rPr>
                <w:rFonts w:ascii="Times New Roman" w:hAnsi="Times New Roman"/>
                <w:color w:val="000000"/>
                <w:sz w:val="16"/>
                <w:szCs w:val="20"/>
              </w:rPr>
              <w:t>-Promover 3.600 espacios de diálogo</w:t>
            </w:r>
          </w:p>
          <w:p w:rsidR="00961A88" w:rsidRPr="00BA20B4" w:rsidRDefault="00961A88" w:rsidP="00975EF2">
            <w:pPr>
              <w:rPr>
                <w:rFonts w:ascii="Times New Roman" w:hAnsi="Times New Roman"/>
                <w:color w:val="000000"/>
                <w:sz w:val="16"/>
                <w:szCs w:val="20"/>
              </w:rPr>
            </w:pPr>
          </w:p>
        </w:tc>
        <w:tc>
          <w:tcPr>
            <w:tcW w:w="2374" w:type="dxa"/>
          </w:tcPr>
          <w:p w:rsidR="00961A88" w:rsidRPr="00BA20B4" w:rsidRDefault="00961A88" w:rsidP="00D06E73">
            <w:pPr>
              <w:rPr>
                <w:rFonts w:ascii="Times New Roman" w:hAnsi="Times New Roman"/>
                <w:color w:val="000000"/>
                <w:sz w:val="16"/>
                <w:szCs w:val="20"/>
              </w:rPr>
            </w:pPr>
          </w:p>
        </w:tc>
      </w:tr>
      <w:tr w:rsidR="00961A88" w:rsidRPr="00BA20B4">
        <w:tc>
          <w:tcPr>
            <w:tcW w:w="1341" w:type="dxa"/>
          </w:tcPr>
          <w:p w:rsidR="00961A88" w:rsidRPr="00BA20B4" w:rsidRDefault="00961A88" w:rsidP="00975EF2">
            <w:pPr>
              <w:rPr>
                <w:rFonts w:ascii="Times New Roman" w:hAnsi="Times New Roman"/>
                <w:sz w:val="16"/>
              </w:rPr>
            </w:pPr>
            <w:r w:rsidRPr="00BA20B4">
              <w:rPr>
                <w:rFonts w:ascii="Times New Roman" w:hAnsi="Times New Roman"/>
                <w:sz w:val="16"/>
              </w:rPr>
              <w:t>Objetivo de impacto No 4</w:t>
            </w:r>
          </w:p>
        </w:tc>
        <w:tc>
          <w:tcPr>
            <w:tcW w:w="1819" w:type="dxa"/>
          </w:tcPr>
          <w:p w:rsidR="00961A88" w:rsidRPr="00BA20B4" w:rsidRDefault="00961A88" w:rsidP="00975EF2">
            <w:pPr>
              <w:rPr>
                <w:rFonts w:ascii="Times New Roman" w:hAnsi="Times New Roman"/>
                <w:color w:val="000000"/>
                <w:sz w:val="16"/>
                <w:szCs w:val="20"/>
              </w:rPr>
            </w:pPr>
            <w:r>
              <w:rPr>
                <w:rFonts w:ascii="Times New Roman" w:hAnsi="Times New Roman"/>
                <w:color w:val="000000"/>
                <w:sz w:val="16"/>
                <w:szCs w:val="20"/>
              </w:rPr>
              <w:t xml:space="preserve">5. </w:t>
            </w:r>
            <w:r w:rsidRPr="00BA20B4">
              <w:rPr>
                <w:rFonts w:ascii="Times New Roman" w:hAnsi="Times New Roman"/>
                <w:color w:val="000000"/>
                <w:sz w:val="16"/>
                <w:szCs w:val="20"/>
              </w:rPr>
              <w:t>Aumentar a 45% la percepción positiva sobre la educación pública de la ciudad</w:t>
            </w:r>
          </w:p>
        </w:tc>
        <w:tc>
          <w:tcPr>
            <w:tcW w:w="3522" w:type="dxa"/>
          </w:tcPr>
          <w:p w:rsidR="00961A88" w:rsidRPr="00BA20B4" w:rsidRDefault="004F70FD" w:rsidP="00975EF2">
            <w:pPr>
              <w:rPr>
                <w:rFonts w:ascii="Times New Roman" w:hAnsi="Times New Roman"/>
                <w:color w:val="000000"/>
                <w:sz w:val="16"/>
                <w:szCs w:val="20"/>
              </w:rPr>
            </w:pPr>
            <w:r>
              <w:rPr>
                <w:rFonts w:ascii="Times New Roman" w:hAnsi="Times New Roman"/>
                <w:color w:val="000000"/>
                <w:sz w:val="16"/>
                <w:szCs w:val="20"/>
              </w:rPr>
              <w:t>Este objetivo depende del cumplimiento de los anteriores</w:t>
            </w:r>
          </w:p>
        </w:tc>
        <w:tc>
          <w:tcPr>
            <w:tcW w:w="2374" w:type="dxa"/>
          </w:tcPr>
          <w:p w:rsidR="00961A88" w:rsidRPr="00BA20B4" w:rsidRDefault="00961A88" w:rsidP="00432C8B">
            <w:pPr>
              <w:rPr>
                <w:rFonts w:ascii="Times New Roman" w:hAnsi="Times New Roman"/>
                <w:color w:val="000000"/>
                <w:sz w:val="16"/>
                <w:szCs w:val="20"/>
              </w:rPr>
            </w:pPr>
            <w:r>
              <w:rPr>
                <w:rFonts w:ascii="Times New Roman" w:hAnsi="Times New Roman"/>
                <w:color w:val="000000"/>
                <w:sz w:val="16"/>
                <w:szCs w:val="20"/>
              </w:rPr>
              <w:t>Este objetivo depende del cumplimiento de los anteriores</w:t>
            </w:r>
          </w:p>
        </w:tc>
      </w:tr>
      <w:tr w:rsidR="00961A88" w:rsidRPr="00BA20B4">
        <w:tc>
          <w:tcPr>
            <w:tcW w:w="1341" w:type="dxa"/>
          </w:tcPr>
          <w:p w:rsidR="00961A88" w:rsidRPr="00BA20B4" w:rsidRDefault="00961A88" w:rsidP="00975EF2">
            <w:pPr>
              <w:rPr>
                <w:rFonts w:ascii="Times New Roman" w:hAnsi="Times New Roman"/>
                <w:sz w:val="16"/>
              </w:rPr>
            </w:pPr>
            <w:r>
              <w:rPr>
                <w:rFonts w:ascii="Times New Roman" w:hAnsi="Times New Roman"/>
                <w:sz w:val="16"/>
              </w:rPr>
              <w:t>Objetivo de impacto No. 5</w:t>
            </w:r>
          </w:p>
        </w:tc>
        <w:tc>
          <w:tcPr>
            <w:tcW w:w="1819" w:type="dxa"/>
          </w:tcPr>
          <w:p w:rsidR="00961A88" w:rsidRPr="00BA20B4" w:rsidRDefault="00961A88" w:rsidP="00975EF2">
            <w:pPr>
              <w:rPr>
                <w:rFonts w:ascii="Times New Roman" w:hAnsi="Times New Roman"/>
                <w:color w:val="000000"/>
                <w:sz w:val="16"/>
                <w:szCs w:val="20"/>
              </w:rPr>
            </w:pPr>
            <w:r>
              <w:rPr>
                <w:rFonts w:ascii="Times New Roman" w:hAnsi="Times New Roman"/>
                <w:color w:val="000000"/>
                <w:sz w:val="16"/>
                <w:szCs w:val="20"/>
              </w:rPr>
              <w:t xml:space="preserve">6. </w:t>
            </w:r>
            <w:r w:rsidRPr="00550031">
              <w:rPr>
                <w:rFonts w:ascii="Times New Roman" w:hAnsi="Times New Roman"/>
                <w:color w:val="000000"/>
                <w:sz w:val="16"/>
                <w:szCs w:val="20"/>
              </w:rPr>
              <w:t xml:space="preserve">Atender integralmente a 270.000 niños y niñas de primera infancia en Bogotá, desde un modelo inclusivo y diferencial de calidad que garantice su desarrollo integral, mediante la implementación de diferentes modalidades con la participación  de los sectores público, privado y solidario de la ciudad  (202.000 de 0 a 2 años y 68.000 de 3 a 5 años) </w:t>
            </w:r>
          </w:p>
        </w:tc>
        <w:tc>
          <w:tcPr>
            <w:tcW w:w="3522" w:type="dxa"/>
          </w:tcPr>
          <w:p w:rsidR="00961A88" w:rsidRPr="00BA20B4" w:rsidRDefault="00961A88" w:rsidP="004F70FD">
            <w:pPr>
              <w:jc w:val="both"/>
              <w:rPr>
                <w:rFonts w:ascii="Times New Roman" w:hAnsi="Times New Roman"/>
                <w:sz w:val="16"/>
              </w:rPr>
            </w:pPr>
            <w:r w:rsidRPr="00BA20B4">
              <w:rPr>
                <w:rFonts w:ascii="Times New Roman" w:hAnsi="Times New Roman"/>
                <w:bCs/>
                <w:sz w:val="16"/>
              </w:rPr>
              <w:t>-Atender integralmente con enfoque diferencial a 121.004 niños y niñas de 3 a 5 años en el sector educativo oficial de Bogotá en el cuatrienio, 2012 - 2016</w:t>
            </w:r>
          </w:p>
          <w:p w:rsidR="00961A88" w:rsidRDefault="00961A88" w:rsidP="004F70FD">
            <w:pPr>
              <w:jc w:val="both"/>
              <w:rPr>
                <w:rFonts w:ascii="Times New Roman" w:hAnsi="Times New Roman"/>
                <w:color w:val="000000"/>
                <w:sz w:val="16"/>
                <w:szCs w:val="20"/>
              </w:rPr>
            </w:pPr>
            <w:r>
              <w:rPr>
                <w:rFonts w:ascii="Times New Roman" w:hAnsi="Times New Roman"/>
                <w:color w:val="000000"/>
                <w:sz w:val="16"/>
                <w:szCs w:val="20"/>
              </w:rPr>
              <w:t xml:space="preserve">- </w:t>
            </w:r>
            <w:r w:rsidRPr="00550031">
              <w:rPr>
                <w:rFonts w:ascii="Times New Roman" w:hAnsi="Times New Roman"/>
                <w:color w:val="000000"/>
                <w:sz w:val="16"/>
                <w:szCs w:val="20"/>
              </w:rPr>
              <w:t>Brindar alimentación al 100% de los niños y niñas que son atendidos integralmente en las modalidades institucional y familiar</w:t>
            </w:r>
            <w:r w:rsidR="004F70FD">
              <w:rPr>
                <w:rFonts w:ascii="Times New Roman" w:hAnsi="Times New Roman"/>
                <w:color w:val="000000"/>
                <w:sz w:val="16"/>
                <w:szCs w:val="20"/>
              </w:rPr>
              <w:t>.</w:t>
            </w:r>
          </w:p>
          <w:p w:rsidR="00961A88" w:rsidRPr="00BA20B4" w:rsidRDefault="00961A88" w:rsidP="00B14E8F">
            <w:pPr>
              <w:jc w:val="both"/>
              <w:rPr>
                <w:rFonts w:ascii="Times New Roman" w:hAnsi="Times New Roman"/>
                <w:color w:val="000000"/>
                <w:sz w:val="16"/>
                <w:szCs w:val="20"/>
              </w:rPr>
            </w:pPr>
          </w:p>
        </w:tc>
        <w:tc>
          <w:tcPr>
            <w:tcW w:w="2374" w:type="dxa"/>
          </w:tcPr>
          <w:p w:rsidR="00961A88" w:rsidRPr="00BA20B4" w:rsidRDefault="00961A88" w:rsidP="004F70FD">
            <w:pPr>
              <w:jc w:val="both"/>
              <w:rPr>
                <w:rFonts w:ascii="Times New Roman" w:hAnsi="Times New Roman"/>
                <w:sz w:val="16"/>
              </w:rPr>
            </w:pPr>
            <w:r>
              <w:rPr>
                <w:rFonts w:ascii="Times New Roman" w:hAnsi="Times New Roman"/>
                <w:color w:val="000000"/>
                <w:sz w:val="16"/>
                <w:szCs w:val="20"/>
              </w:rPr>
              <w:t>- Construir  y dotar 190 equipamientos para la atención de la primera infancia.</w:t>
            </w:r>
          </w:p>
          <w:p w:rsidR="00961A88" w:rsidRDefault="00961A88" w:rsidP="00B14E8F">
            <w:pPr>
              <w:jc w:val="both"/>
              <w:rPr>
                <w:rFonts w:ascii="Times New Roman" w:hAnsi="Times New Roman"/>
                <w:color w:val="000000"/>
                <w:sz w:val="16"/>
                <w:szCs w:val="20"/>
              </w:rPr>
            </w:pPr>
          </w:p>
        </w:tc>
      </w:tr>
    </w:tbl>
    <w:p w:rsidR="00086C7E" w:rsidRPr="00BA20B4" w:rsidRDefault="00086C7E" w:rsidP="005A5B0C">
      <w:pPr>
        <w:jc w:val="both"/>
        <w:rPr>
          <w:rFonts w:ascii="Times New Roman" w:hAnsi="Times New Roman"/>
          <w:bCs/>
          <w:sz w:val="22"/>
          <w:szCs w:val="22"/>
        </w:rPr>
      </w:pPr>
    </w:p>
    <w:p w:rsidR="005A5B0C" w:rsidRPr="00666BB4" w:rsidRDefault="00E03855" w:rsidP="00666BB4">
      <w:pPr>
        <w:pStyle w:val="Ttulo3"/>
        <w:rPr>
          <w:rFonts w:ascii="Times New Roman" w:hAnsi="Times New Roman"/>
        </w:rPr>
      </w:pPr>
      <w:bookmarkStart w:id="28" w:name="_Toc362358048"/>
      <w:r w:rsidRPr="00666BB4">
        <w:rPr>
          <w:rFonts w:ascii="Times New Roman" w:hAnsi="Times New Roman"/>
        </w:rPr>
        <w:t>3.</w:t>
      </w:r>
      <w:r w:rsidR="0020444B">
        <w:rPr>
          <w:rFonts w:ascii="Times New Roman" w:hAnsi="Times New Roman"/>
        </w:rPr>
        <w:t>3</w:t>
      </w:r>
      <w:r w:rsidRPr="00666BB4">
        <w:rPr>
          <w:rFonts w:ascii="Times New Roman" w:hAnsi="Times New Roman"/>
        </w:rPr>
        <w:t>. Las apuestas principales del Plan Sectorial</w:t>
      </w:r>
      <w:bookmarkEnd w:id="28"/>
    </w:p>
    <w:p w:rsidR="00E03855" w:rsidRDefault="00E03855" w:rsidP="005A5B0C">
      <w:pPr>
        <w:rPr>
          <w:rFonts w:ascii="Times New Roman" w:hAnsi="Times New Roman"/>
          <w:color w:val="000000"/>
          <w:sz w:val="22"/>
        </w:rPr>
      </w:pPr>
    </w:p>
    <w:p w:rsidR="00181318" w:rsidRPr="00F1703A" w:rsidRDefault="00181318" w:rsidP="00181318">
      <w:pPr>
        <w:jc w:val="both"/>
        <w:rPr>
          <w:rFonts w:ascii="Times New Roman" w:hAnsi="Times New Roman" w:cs="Times New Roman"/>
          <w:u w:val="single"/>
        </w:rPr>
      </w:pPr>
      <w:r w:rsidRPr="00F1703A">
        <w:rPr>
          <w:rFonts w:ascii="Times New Roman" w:hAnsi="Times New Roman" w:cs="Times New Roman"/>
          <w:u w:val="single"/>
        </w:rPr>
        <w:t xml:space="preserve">La transición en los derechos de primera a segunda generación </w:t>
      </w:r>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 xml:space="preserve">Hasta finales de la década del siglo pasado el país y en particular la ciudad de Bogotá, presentaban tasas de cobertura inferiores al resto de América Latina. Advertir esta tendencia supuso para el gobierno nacional y los gobiernos locales un derrotero importante en materia de política pública, particularmente en relación con el acceso a lo que se conoce como los derechos de primera generación (acceso, permanencia y promoción dentro del sistema educativo). Es obligación del Estado por norma constitucional, garantizar a los niños, niñas y jóvenes el acceso al ejercicio al derecho a la educación, y en esa medida ha de proveer las condiciones para su cumplimiento. Las estrategias adelantadas en ese entonces arrojaron resultados importantes y meritorios, logrando para los inicios del </w:t>
      </w:r>
      <w:r w:rsidRPr="00F1703A">
        <w:rPr>
          <w:rFonts w:ascii="Times New Roman" w:hAnsi="Times New Roman" w:cs="Times New Roman"/>
        </w:rPr>
        <w:lastRenderedPageBreak/>
        <w:t xml:space="preserve">presente siglo mejorar sustancialmente las tasas de asistencia escolar, cobertura bruta y neta, y deserción.   </w:t>
      </w:r>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 xml:space="preserve">A medida que los derechos de primera generación mostraban mejorías, los de segunda generación adquirían mayor protagonismo dentro de la esfera de la política pública. Fue así como se empezaron a implementar estrategias dirigidas a garantizar la calidad en el servicio educativo. El desarrollo de los ciclos, la incorporación de una segunda lengua, escuela-ciudad-escuela, acompañamiento de equipos pedagógicos en los colegios, son algunos ejemplos de iniciativas importantes en materia de calidad. </w:t>
      </w:r>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 xml:space="preserve">El Gobierno de la Bogotá Humana duplicó el presupuesto de recursos propios para la educación, agregando un billón de pesos al año. Es lo que se requiere para alcanzar el principal rasgo que caracteriza a todas las sociedades pacíficas y justas del mundo: una educación pública de calidad, en la que se mezclan estudiantes de todos los orígenes económicos y culturales. </w:t>
      </w:r>
      <w:r w:rsidR="000B2B1F">
        <w:rPr>
          <w:rFonts w:ascii="Times New Roman" w:hAnsi="Times New Roman" w:cs="Times New Roman"/>
        </w:rPr>
        <w:t>La ciudad cuenta con</w:t>
      </w:r>
      <w:r w:rsidRPr="00F1703A">
        <w:rPr>
          <w:rFonts w:ascii="Times New Roman" w:hAnsi="Times New Roman" w:cs="Times New Roman"/>
        </w:rPr>
        <w:t xml:space="preserve"> el talento humano más calificado del país, la economía más fuerte y por lo tanto el gobierno más solvente, y una población en edad escolar que se ha estabilizado y muy pronto comenzará a descender. Ya no es posible conformarse con la garantía del derecho a la educación en condiciones básicas para los sectores populares. Llegó la hora de apostar por la excelencia en el aprendizaje para todos los niños</w:t>
      </w:r>
      <w:r w:rsidR="00FF22D1">
        <w:rPr>
          <w:rFonts w:ascii="Times New Roman" w:hAnsi="Times New Roman" w:cs="Times New Roman"/>
        </w:rPr>
        <w:t>, niñas</w:t>
      </w:r>
      <w:r w:rsidRPr="00F1703A">
        <w:rPr>
          <w:rFonts w:ascii="Times New Roman" w:hAnsi="Times New Roman" w:cs="Times New Roman"/>
        </w:rPr>
        <w:t xml:space="preserve"> y jóvenes. Es por ello que la Bogotá Humana tiene como apuesta central la calidad, como elemento fundamental de los derechos de segunda generación. No obstante los derechos de primera generación también son derroteros importantes, respondiendo al diagnóstico de la ciudad</w:t>
      </w:r>
      <w:r w:rsidRPr="00F1703A">
        <w:rPr>
          <w:rFonts w:ascii="Times New Roman" w:eastAsia="Calibri" w:hAnsi="Times New Roman" w:cs="Times New Roman"/>
        </w:rPr>
        <w:t xml:space="preserve"> que</w:t>
      </w:r>
      <w:r w:rsidRPr="00F1703A">
        <w:rPr>
          <w:rFonts w:ascii="Times New Roman" w:hAnsi="Times New Roman" w:cs="Times New Roman"/>
        </w:rPr>
        <w:t xml:space="preserve"> indica falencias en el acceso y permanencia en algunos niveles (educación inicial, media y superior) y el aumento de la deserción y la reprobación. </w:t>
      </w:r>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sz w:val="22"/>
          <w:szCs w:val="22"/>
        </w:rPr>
      </w:pPr>
      <w:r w:rsidRPr="00F1703A">
        <w:rPr>
          <w:rFonts w:ascii="Times New Roman" w:hAnsi="Times New Roman" w:cs="Times New Roman"/>
          <w:sz w:val="22"/>
          <w:szCs w:val="22"/>
          <w:lang w:val="es-CO"/>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87.25pt" o:ole="">
            <v:imagedata r:id="rId26" o:title=""/>
          </v:shape>
          <o:OLEObject Type="Embed" ProgID="PowerPoint.Slide.12" ShapeID="_x0000_i1025" DrawAspect="Content" ObjectID="_1445506973" r:id="rId27"/>
        </w:object>
      </w:r>
    </w:p>
    <w:p w:rsidR="00181318" w:rsidRPr="00F1703A" w:rsidRDefault="00181318" w:rsidP="00181318">
      <w:pPr>
        <w:jc w:val="both"/>
        <w:rPr>
          <w:rFonts w:ascii="Times New Roman" w:hAnsi="Times New Roman" w:cs="Times New Roman"/>
          <w:sz w:val="22"/>
          <w:szCs w:val="22"/>
        </w:rPr>
      </w:pPr>
    </w:p>
    <w:p w:rsidR="00181318" w:rsidRPr="00F1703A" w:rsidRDefault="00181318" w:rsidP="00181318">
      <w:pPr>
        <w:jc w:val="both"/>
        <w:rPr>
          <w:rFonts w:ascii="Times New Roman" w:hAnsi="Times New Roman" w:cs="Times New Roman"/>
          <w:sz w:val="22"/>
          <w:szCs w:val="22"/>
        </w:rPr>
      </w:pPr>
    </w:p>
    <w:p w:rsidR="00181318" w:rsidRPr="00F1703A" w:rsidRDefault="00181318" w:rsidP="00181318">
      <w:pPr>
        <w:jc w:val="both"/>
        <w:rPr>
          <w:rFonts w:ascii="Times New Roman" w:hAnsi="Times New Roman" w:cs="Times New Roman"/>
          <w:sz w:val="22"/>
          <w:szCs w:val="22"/>
        </w:rPr>
      </w:pPr>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u w:val="single"/>
        </w:rPr>
      </w:pPr>
      <w:r w:rsidRPr="00F1703A">
        <w:rPr>
          <w:rFonts w:ascii="Times New Roman" w:hAnsi="Times New Roman" w:cs="Times New Roman"/>
          <w:u w:val="single"/>
        </w:rPr>
        <w:t xml:space="preserve">Calidad educativa en la Bogotá Humana </w:t>
      </w:r>
    </w:p>
    <w:p w:rsidR="00181318" w:rsidRPr="00181318" w:rsidRDefault="00181318" w:rsidP="00181318">
      <w:pPr>
        <w:pStyle w:val="Ttulo3"/>
        <w:rPr>
          <w:rFonts w:ascii="Times New Roman" w:hAnsi="Times New Roman"/>
          <w:i/>
        </w:rPr>
      </w:pPr>
      <w:bookmarkStart w:id="29" w:name="_Toc362358049"/>
      <w:r>
        <w:rPr>
          <w:rFonts w:ascii="Times New Roman" w:hAnsi="Times New Roman"/>
          <w:i/>
        </w:rPr>
        <w:t xml:space="preserve">3.3.1 </w:t>
      </w:r>
      <w:r w:rsidRPr="00181318">
        <w:rPr>
          <w:rFonts w:ascii="Times New Roman" w:hAnsi="Times New Roman"/>
          <w:i/>
        </w:rPr>
        <w:t>Currículo para la excelencia académica y la formación integral</w:t>
      </w:r>
      <w:r w:rsidR="00BF0CA7">
        <w:rPr>
          <w:rFonts w:ascii="Times New Roman" w:hAnsi="Times New Roman"/>
          <w:i/>
        </w:rPr>
        <w:t xml:space="preserve"> en educación inicial, básica y media</w:t>
      </w:r>
      <w:bookmarkEnd w:id="29"/>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 xml:space="preserve">La Bogotá Humana entiende la calidad en la educación como un proceso que supone en el estudiante el aprendizaje integral para el buen vivir, desarrollando un conjunto </w:t>
      </w:r>
      <w:r w:rsidRPr="00F1703A">
        <w:rPr>
          <w:rFonts w:ascii="Times New Roman" w:eastAsia="NewBaskervilleStd-Roman" w:hAnsi="Times New Roman" w:cs="Times New Roman"/>
          <w:lang w:val="es-CO" w:eastAsia="en-US"/>
        </w:rPr>
        <w:t xml:space="preserve">articulado de conocimientos, capacidades, emociones, pensamiento crítico, autonomía, actitudes y habilidades para vivir armónicamente en el planeta, realizando un proyecto de vida individual y colectivo. La calidad entonces está enfocada a la formación de mejores seres humanos, personas y ciudadanos. </w:t>
      </w:r>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El aprendizaje inte</w:t>
      </w:r>
      <w:r w:rsidR="0050702E">
        <w:rPr>
          <w:rFonts w:ascii="Times New Roman" w:hAnsi="Times New Roman" w:cs="Times New Roman"/>
        </w:rPr>
        <w:t>gral supone un proceso continuo</w:t>
      </w:r>
      <w:r w:rsidRPr="00F1703A">
        <w:rPr>
          <w:rFonts w:ascii="Times New Roman" w:hAnsi="Times New Roman" w:cs="Times New Roman"/>
        </w:rPr>
        <w:t>, que se da a lo largo de la vida, y en donde la escuela es uno más de los escenarios donde se construye. La familia, el entorno, las condiciones sociales y culturales, afectan de manera determinante este aprendizaje, por lo que resulta claro que la educación es un derecho en donde la sociedad, la familia y el Estado son corresponsables.</w:t>
      </w:r>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 xml:space="preserve">En su papel, la educación escolarizada se enfrenta al reto de configurar una oferta educativa de calidad que haga de las instituciones educativas escenarios de aprendizaje integral. </w:t>
      </w:r>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La reflexión en torno al aprendizaje integral dentro de la escuela lleva la mirada al currículo, pues es éste el mapa que delimita la forma cómo se está entendiendo o concibiendo el proceso enseñanza – aprendizaje, priorizando determinados conocimientos, habilidades, y desarrollo de valores.</w:t>
      </w:r>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 xml:space="preserve">Considerando que la Bogotá Humana concibe la calidad como aprendizaje integral, plantea la reflexión en torno a la construcción de un currículo que posea las siguientes características: </w:t>
      </w:r>
    </w:p>
    <w:p w:rsidR="00181318" w:rsidRPr="00F1703A" w:rsidRDefault="00181318" w:rsidP="00181318">
      <w:pPr>
        <w:jc w:val="both"/>
        <w:rPr>
          <w:rFonts w:ascii="Times New Roman" w:hAnsi="Times New Roman" w:cs="Times New Roman"/>
        </w:rPr>
      </w:pPr>
    </w:p>
    <w:p w:rsidR="0050702E" w:rsidRDefault="00181318" w:rsidP="00181318">
      <w:pPr>
        <w:pStyle w:val="Prrafodelista"/>
        <w:numPr>
          <w:ilvl w:val="0"/>
          <w:numId w:val="13"/>
        </w:numPr>
        <w:jc w:val="both"/>
      </w:pPr>
      <w:r w:rsidRPr="00F1703A">
        <w:rPr>
          <w:b/>
        </w:rPr>
        <w:t>Diverso</w:t>
      </w:r>
      <w:r w:rsidRPr="00F1703A">
        <w:t xml:space="preserve"> – recogiendo todas las áreas básicas con la intención de ofrecer un conocimiento amplio y variado. </w:t>
      </w:r>
      <w:r w:rsidRPr="00F1703A">
        <w:rPr>
          <w:lang w:val="es-CO"/>
        </w:rPr>
        <w:t xml:space="preserve">Así se desarrollan, de manera progresiva las dos caras de una educación integral de calidad: De un lado, el aprendizaje del </w:t>
      </w:r>
      <w:r w:rsidRPr="00F1703A">
        <w:rPr>
          <w:bCs/>
          <w:lang w:val="es-CO"/>
        </w:rPr>
        <w:t>español</w:t>
      </w:r>
      <w:r w:rsidRPr="00F1703A">
        <w:rPr>
          <w:lang w:val="es-CO"/>
        </w:rPr>
        <w:t xml:space="preserve">, la </w:t>
      </w:r>
      <w:r w:rsidRPr="00F1703A">
        <w:rPr>
          <w:bCs/>
          <w:lang w:val="es-CO"/>
        </w:rPr>
        <w:t>matemática</w:t>
      </w:r>
      <w:r w:rsidRPr="00F1703A">
        <w:rPr>
          <w:lang w:val="es-CO"/>
        </w:rPr>
        <w:t xml:space="preserve">, las </w:t>
      </w:r>
      <w:r w:rsidRPr="00F1703A">
        <w:rPr>
          <w:bCs/>
          <w:lang w:val="es-CO"/>
        </w:rPr>
        <w:t>ciencias naturales y sociales</w:t>
      </w:r>
      <w:r w:rsidRPr="00F1703A">
        <w:rPr>
          <w:lang w:val="es-CO"/>
        </w:rPr>
        <w:t xml:space="preserve"> y una </w:t>
      </w:r>
      <w:r w:rsidRPr="00F1703A">
        <w:rPr>
          <w:bCs/>
          <w:lang w:val="es-CO"/>
        </w:rPr>
        <w:t>segunda lengua</w:t>
      </w:r>
      <w:r w:rsidRPr="00F1703A">
        <w:rPr>
          <w:lang w:val="es-CO"/>
        </w:rPr>
        <w:t xml:space="preserve">. </w:t>
      </w:r>
      <w:r w:rsidRPr="00F1703A">
        <w:t xml:space="preserve"> </w:t>
      </w:r>
    </w:p>
    <w:p w:rsidR="0050702E" w:rsidRDefault="0050702E" w:rsidP="0050702E">
      <w:pPr>
        <w:pStyle w:val="Prrafodelista"/>
        <w:jc w:val="both"/>
        <w:rPr>
          <w:b/>
        </w:rPr>
      </w:pPr>
    </w:p>
    <w:p w:rsidR="00181318" w:rsidRPr="00F1703A" w:rsidRDefault="00181318" w:rsidP="0050702E">
      <w:pPr>
        <w:pStyle w:val="Prrafodelista"/>
        <w:jc w:val="both"/>
      </w:pPr>
      <w:r w:rsidRPr="00F1703A">
        <w:rPr>
          <w:lang w:val="es-CO"/>
        </w:rPr>
        <w:t xml:space="preserve">Del otro, el aprovechamiento de la ciudad y las experiencias cotidianas para un aprendizaje reflexivo y vital del </w:t>
      </w:r>
      <w:r w:rsidRPr="00F1703A">
        <w:rPr>
          <w:bCs/>
          <w:lang w:val="es-CO"/>
        </w:rPr>
        <w:t xml:space="preserve">arte, </w:t>
      </w:r>
      <w:r w:rsidRPr="00F1703A">
        <w:rPr>
          <w:lang w:val="es-CO"/>
        </w:rPr>
        <w:t xml:space="preserve">el </w:t>
      </w:r>
      <w:r w:rsidRPr="00F1703A">
        <w:rPr>
          <w:bCs/>
          <w:lang w:val="es-CO"/>
        </w:rPr>
        <w:t xml:space="preserve">deporte </w:t>
      </w:r>
      <w:r w:rsidRPr="00F1703A">
        <w:rPr>
          <w:lang w:val="es-CO"/>
        </w:rPr>
        <w:t xml:space="preserve">y la </w:t>
      </w:r>
      <w:r w:rsidRPr="00F1703A">
        <w:rPr>
          <w:bCs/>
          <w:lang w:val="es-CO"/>
        </w:rPr>
        <w:t>ciudadanía</w:t>
      </w:r>
      <w:r w:rsidRPr="00F1703A">
        <w:rPr>
          <w:lang w:val="es-CO"/>
        </w:rPr>
        <w:t xml:space="preserve"> (identidad, derechos, participación y respeto por la vida humana y la naturaleza). En los saberes básicos se aprende a </w:t>
      </w:r>
      <w:r w:rsidRPr="00F1703A">
        <w:t>pensar críticamente, es decir, a generar y expresar buenas preguntas y responderlas con base en evidencia, que en últimas es como se juntan lenguaje, matemáticas y ciencias; y en las condiciones del ser, a vivir de manera plena y creativa con cuerpo, sensibilidad y pertenencia a un colectivo.</w:t>
      </w:r>
    </w:p>
    <w:p w:rsidR="00181318" w:rsidRPr="00F1703A" w:rsidRDefault="00181318" w:rsidP="00181318">
      <w:pPr>
        <w:pStyle w:val="Prrafodelista"/>
        <w:jc w:val="both"/>
      </w:pPr>
    </w:p>
    <w:p w:rsidR="00181318" w:rsidRPr="00F1703A" w:rsidRDefault="00181318" w:rsidP="00181318">
      <w:pPr>
        <w:pStyle w:val="Prrafodelista"/>
        <w:numPr>
          <w:ilvl w:val="0"/>
          <w:numId w:val="13"/>
        </w:numPr>
        <w:jc w:val="both"/>
      </w:pPr>
      <w:r w:rsidRPr="00F1703A">
        <w:rPr>
          <w:b/>
        </w:rPr>
        <w:t>Integrado</w:t>
      </w:r>
      <w:r w:rsidRPr="00F1703A">
        <w:t>r –abordando todos los niveles y ciclos permitiendo que el conocimiento y el aprendizaje vaya de acuerdo al desarrollo cognitivo de cada etapa.</w:t>
      </w:r>
    </w:p>
    <w:p w:rsidR="00181318" w:rsidRPr="00F1703A" w:rsidRDefault="00181318" w:rsidP="00181318">
      <w:pPr>
        <w:pStyle w:val="Prrafodelista"/>
      </w:pPr>
    </w:p>
    <w:p w:rsidR="00181318" w:rsidRPr="00F1703A" w:rsidRDefault="00181318" w:rsidP="00181318">
      <w:pPr>
        <w:pStyle w:val="Prrafodelista"/>
        <w:numPr>
          <w:ilvl w:val="0"/>
          <w:numId w:val="13"/>
        </w:numPr>
        <w:jc w:val="both"/>
      </w:pPr>
      <w:r w:rsidRPr="00F1703A">
        <w:rPr>
          <w:b/>
        </w:rPr>
        <w:t>Evolutivo</w:t>
      </w:r>
      <w:r w:rsidRPr="00F1703A">
        <w:t xml:space="preserve"> - permitiendo un volver a ver de modo distinto en diferentes etapas del ciclo vital, los mismos asuntos con nuevos ojos y desde los intereses de cada quien en cada momento de la vida.</w:t>
      </w:r>
    </w:p>
    <w:p w:rsidR="00181318" w:rsidRPr="00F1703A" w:rsidRDefault="00181318" w:rsidP="00181318">
      <w:pPr>
        <w:jc w:val="both"/>
        <w:rPr>
          <w:rFonts w:ascii="Times New Roman" w:hAnsi="Times New Roman" w:cs="Times New Roman"/>
        </w:rPr>
      </w:pPr>
    </w:p>
    <w:p w:rsidR="00181318" w:rsidRPr="00F94F34" w:rsidRDefault="00181318" w:rsidP="00181318">
      <w:pPr>
        <w:pStyle w:val="Prrafodelista"/>
        <w:numPr>
          <w:ilvl w:val="0"/>
          <w:numId w:val="13"/>
        </w:numPr>
        <w:jc w:val="both"/>
      </w:pPr>
      <w:r w:rsidRPr="00F1703A">
        <w:rPr>
          <w:b/>
        </w:rPr>
        <w:t>Pertinente</w:t>
      </w:r>
      <w:r w:rsidRPr="00F1703A">
        <w:t xml:space="preserve"> – adecuándose a las etapas de crecimiento, necesidades del entorno, necesidades de cada etapa de la vida y de acuerdo a las escogencias – libertades - aptitudes que expresan los estudiantes. </w:t>
      </w:r>
    </w:p>
    <w:p w:rsidR="00181318" w:rsidRPr="00F1703A" w:rsidRDefault="00F94F34" w:rsidP="00181318">
      <w:pPr>
        <w:jc w:val="both"/>
        <w:rPr>
          <w:rFonts w:ascii="Times New Roman" w:hAnsi="Times New Roman" w:cs="Times New Roman"/>
        </w:rPr>
      </w:pPr>
      <w:r w:rsidRPr="00F1703A">
        <w:rPr>
          <w:rFonts w:ascii="Times New Roman" w:hAnsi="Times New Roman" w:cs="Times New Roman"/>
          <w:sz w:val="22"/>
          <w:szCs w:val="22"/>
          <w:lang w:val="es-CO"/>
        </w:rPr>
        <w:object w:dxaOrig="7219" w:dyaOrig="5416">
          <v:shape id="_x0000_i1026" type="#_x0000_t75" style="width:474.75pt;height:362.25pt" o:ole="">
            <v:imagedata r:id="rId28" o:title=""/>
          </v:shape>
          <o:OLEObject Type="Embed" ProgID="PowerPoint.Slide.12" ShapeID="_x0000_i1026" DrawAspect="Content" ObjectID="_1445506974" r:id="rId29"/>
        </w:object>
      </w:r>
      <w:r w:rsidR="00181318" w:rsidRPr="00F1703A">
        <w:rPr>
          <w:rFonts w:ascii="Times New Roman" w:hAnsi="Times New Roman" w:cs="Times New Roman"/>
        </w:rPr>
        <w:t xml:space="preserve">El diseño de este nuevo currículo de aprendizaje integral supone la transformación de la institución educativa desde tres perspectivas: </w:t>
      </w:r>
    </w:p>
    <w:p w:rsidR="00181318" w:rsidRPr="00F1703A" w:rsidRDefault="00181318" w:rsidP="00181318">
      <w:pPr>
        <w:jc w:val="both"/>
        <w:rPr>
          <w:rFonts w:ascii="Times New Roman" w:hAnsi="Times New Roman" w:cs="Times New Roman"/>
        </w:rPr>
      </w:pPr>
    </w:p>
    <w:p w:rsidR="00181318" w:rsidRPr="00F1703A" w:rsidRDefault="00181318" w:rsidP="00181318">
      <w:pPr>
        <w:pStyle w:val="Prrafodelista"/>
        <w:numPr>
          <w:ilvl w:val="0"/>
          <w:numId w:val="15"/>
        </w:numPr>
        <w:jc w:val="both"/>
      </w:pPr>
      <w:r w:rsidRPr="00F1703A">
        <w:rPr>
          <w:b/>
        </w:rPr>
        <w:t>Transformar el tiempo en la escuela</w:t>
      </w:r>
      <w:r w:rsidRPr="00F1703A">
        <w:t xml:space="preserve">: los tiempos dedicados al diálogo con los estudiantes; a la permanencia dentro y fuera del aula; al desarrollo de investigación pedagógica por parte de los docentes; a las actividades que promuevan la participación activa como ciudadano; y el fomento del arte y el deporte. De igual </w:t>
      </w:r>
      <w:r w:rsidRPr="00F1703A">
        <w:lastRenderedPageBreak/>
        <w:t xml:space="preserve">forma el tiempo en la escuela desde la educación inicial y su permanencia hasta finalizar la media.  </w:t>
      </w:r>
    </w:p>
    <w:p w:rsidR="00181318" w:rsidRPr="00F1703A" w:rsidRDefault="00181318" w:rsidP="00181318">
      <w:pPr>
        <w:pStyle w:val="Prrafodelista"/>
        <w:jc w:val="both"/>
      </w:pPr>
    </w:p>
    <w:p w:rsidR="00181318" w:rsidRPr="00F1703A" w:rsidRDefault="00181318" w:rsidP="00181318">
      <w:pPr>
        <w:pStyle w:val="Prrafodelista"/>
        <w:numPr>
          <w:ilvl w:val="0"/>
          <w:numId w:val="14"/>
        </w:numPr>
        <w:jc w:val="both"/>
      </w:pPr>
      <w:r w:rsidRPr="00F1703A">
        <w:rPr>
          <w:b/>
        </w:rPr>
        <w:t>Transformar el espacio en la escuela</w:t>
      </w:r>
      <w:r w:rsidRPr="00F1703A">
        <w:t xml:space="preserve">: buenas condiciones materiales de infraestructura,  dotación, alimentación y transporte; la concepción de los espacios para el aprendizaje fuera y dentro de la escuela y el aula; el papel del espacio virtual; los escenarios para la discusión y debate de los estudiantes; la sesión regular de las instancias de participación; y la convivencia de estudiantes de diferente situación y condición. </w:t>
      </w:r>
    </w:p>
    <w:p w:rsidR="00181318" w:rsidRPr="00F1703A" w:rsidRDefault="00181318" w:rsidP="00181318">
      <w:pPr>
        <w:pStyle w:val="Prrafodelista"/>
        <w:jc w:val="both"/>
      </w:pPr>
    </w:p>
    <w:p w:rsidR="00181318" w:rsidRPr="00F1703A" w:rsidRDefault="00181318" w:rsidP="00181318">
      <w:pPr>
        <w:pStyle w:val="Prrafodelista"/>
        <w:numPr>
          <w:ilvl w:val="0"/>
          <w:numId w:val="14"/>
        </w:numPr>
        <w:jc w:val="both"/>
      </w:pPr>
      <w:r w:rsidRPr="00F1703A">
        <w:rPr>
          <w:b/>
        </w:rPr>
        <w:t>Transformar el rol docente en la escuela</w:t>
      </w:r>
      <w:r w:rsidRPr="00F1703A">
        <w:t>: hay que resignificar la labor docente, elevar su estatus social y económico, dimensionar su papel fundamental dentro de la construcción de sociedad. Formar a los maestros para que aspiren tanto personal como profesionalmente a un aprendizaje a lo largo de la vida que les permita mirarse a sí mismos de manera permanente para cualificar su labor, nutrir su potencial de manera integral, mirar a los estudiantes en sus procesos de formación. Así, el proceso supone por ejemplo, maestros capaces de</w:t>
      </w:r>
      <w:r w:rsidR="00263032">
        <w:t xml:space="preserve"> dictar sus materias desde los 3</w:t>
      </w:r>
      <w:r w:rsidRPr="00F1703A">
        <w:t xml:space="preserve"> a los 18 años, áreas que miran a los estudiantes en todos sus procesos de formación (maestro de primaria sabe lo que dicta el de secundaria), maestros que permiten que otros colegas entren a su aula y mire su quehacer, etc.</w:t>
      </w:r>
    </w:p>
    <w:p w:rsidR="00181318" w:rsidRPr="00F1703A" w:rsidRDefault="00181318" w:rsidP="00181318">
      <w:pPr>
        <w:jc w:val="both"/>
        <w:rPr>
          <w:rFonts w:ascii="Times New Roman" w:hAnsi="Times New Roman" w:cs="Times New Roman"/>
        </w:rPr>
      </w:pPr>
    </w:p>
    <w:p w:rsidR="00181318" w:rsidRDefault="00181318" w:rsidP="00181318">
      <w:pPr>
        <w:jc w:val="both"/>
        <w:rPr>
          <w:rFonts w:ascii="Times New Roman" w:hAnsi="Times New Roman" w:cs="Times New Roman"/>
        </w:rPr>
      </w:pPr>
      <w:r w:rsidRPr="00F1703A">
        <w:rPr>
          <w:rFonts w:ascii="Times New Roman" w:hAnsi="Times New Roman" w:cs="Times New Roman"/>
        </w:rPr>
        <w:t xml:space="preserve">Los planteamientos de la Bogotá Humana alrededor de estas transformaciones se materializan en sus apuestas, que buscan configurar nuevamente el tiempo, el espacio y el rol docente en la escuela, a favor de un currículo fortalecido y de una excelencia que garantiza la calidad educativa. </w:t>
      </w:r>
    </w:p>
    <w:p w:rsidR="00EF1F83" w:rsidRDefault="00EF1F83" w:rsidP="00181318">
      <w:pPr>
        <w:jc w:val="both"/>
        <w:rPr>
          <w:rFonts w:ascii="Times New Roman" w:hAnsi="Times New Roman" w:cs="Times New Roman"/>
        </w:rPr>
      </w:pPr>
    </w:p>
    <w:p w:rsidR="000959CF" w:rsidRPr="000959CF" w:rsidRDefault="00EF1F83" w:rsidP="000959CF">
      <w:pPr>
        <w:jc w:val="both"/>
        <w:rPr>
          <w:rFonts w:ascii="Times New Roman" w:hAnsi="Times New Roman" w:cs="Times New Roman"/>
        </w:rPr>
      </w:pPr>
      <w:r>
        <w:rPr>
          <w:rFonts w:ascii="Times New Roman" w:hAnsi="Times New Roman" w:cs="Times New Roman"/>
        </w:rPr>
        <w:t>Este currículo se implementará en el 100% de los colegios para educación inicial y media</w:t>
      </w:r>
      <w:r w:rsidR="000959CF">
        <w:rPr>
          <w:rFonts w:ascii="Times New Roman" w:hAnsi="Times New Roman" w:cs="Times New Roman"/>
        </w:rPr>
        <w:t xml:space="preserve">, y en 100 colegios de educación básica que </w:t>
      </w:r>
      <w:r>
        <w:rPr>
          <w:rFonts w:ascii="Times New Roman" w:hAnsi="Times New Roman" w:cs="Times New Roman"/>
        </w:rPr>
        <w:t>tendr</w:t>
      </w:r>
      <w:r w:rsidR="000959CF">
        <w:rPr>
          <w:rFonts w:ascii="Times New Roman" w:hAnsi="Times New Roman" w:cs="Times New Roman"/>
        </w:rPr>
        <w:t>án J</w:t>
      </w:r>
      <w:r>
        <w:rPr>
          <w:rFonts w:ascii="Times New Roman" w:hAnsi="Times New Roman" w:cs="Times New Roman"/>
        </w:rPr>
        <w:t>ornada de 40 horas. Allí se desarrollarán acciones como:</w:t>
      </w:r>
      <w:r w:rsidR="000959CF">
        <w:rPr>
          <w:rFonts w:ascii="Times New Roman" w:hAnsi="Times New Roman" w:cs="Times New Roman"/>
        </w:rPr>
        <w:t xml:space="preserve"> </w:t>
      </w:r>
      <w:r w:rsidR="000959CF" w:rsidRPr="003D441F">
        <w:rPr>
          <w:rFonts w:ascii="Times New Roman" w:hAnsi="Times New Roman" w:cs="Times New Roman"/>
          <w:lang w:val="es-ES"/>
        </w:rPr>
        <w:t xml:space="preserve">adecuación de la infraestructura, ampliación de espacios escolares, alimentación adicional, </w:t>
      </w:r>
      <w:r w:rsidR="000959CF" w:rsidRPr="003D441F">
        <w:rPr>
          <w:rFonts w:ascii="Times New Roman" w:hAnsi="Times New Roman" w:cs="Times New Roman"/>
          <w:color w:val="231F20"/>
        </w:rPr>
        <w:t xml:space="preserve">recursos educativos (bibliotecas, laboratorios informáticos, de ciencias, de música y de arte, entre otros) y </w:t>
      </w:r>
      <w:r w:rsidR="000959CF">
        <w:rPr>
          <w:rFonts w:ascii="Times New Roman" w:hAnsi="Times New Roman" w:cs="Times New Roman"/>
          <w:color w:val="231F20"/>
        </w:rPr>
        <w:t>transformaciones en las condiciones del</w:t>
      </w:r>
      <w:r w:rsidR="000959CF" w:rsidRPr="003D441F">
        <w:rPr>
          <w:rFonts w:ascii="Times New Roman" w:hAnsi="Times New Roman" w:cs="Times New Roman"/>
          <w:color w:val="231F20"/>
        </w:rPr>
        <w:t xml:space="preserve"> cuerpo docente. </w:t>
      </w:r>
    </w:p>
    <w:p w:rsidR="000959CF" w:rsidRDefault="000959CF" w:rsidP="000959CF">
      <w:pPr>
        <w:autoSpaceDE w:val="0"/>
        <w:autoSpaceDN w:val="0"/>
        <w:adjustRightInd w:val="0"/>
        <w:jc w:val="both"/>
        <w:rPr>
          <w:rFonts w:ascii="Times New Roman" w:hAnsi="Times New Roman" w:cs="Times New Roman"/>
          <w:lang w:val="es-ES"/>
        </w:rPr>
      </w:pPr>
    </w:p>
    <w:p w:rsidR="000959CF" w:rsidRDefault="000959CF" w:rsidP="000959CF">
      <w:pPr>
        <w:jc w:val="both"/>
        <w:rPr>
          <w:rFonts w:ascii="Times New Roman" w:hAnsi="Times New Roman"/>
          <w:color w:val="000000"/>
        </w:rPr>
      </w:pPr>
      <w:r w:rsidRPr="00300BAA">
        <w:rPr>
          <w:rFonts w:ascii="Times New Roman" w:hAnsi="Times New Roman" w:cs="Times New Roman"/>
          <w:lang w:val="es-ES"/>
        </w:rPr>
        <w:t xml:space="preserve">El objetivo </w:t>
      </w:r>
      <w:r>
        <w:rPr>
          <w:rFonts w:ascii="Times New Roman" w:hAnsi="Times New Roman" w:cs="Times New Roman"/>
          <w:lang w:val="es-ES"/>
        </w:rPr>
        <w:t>es</w:t>
      </w:r>
      <w:r w:rsidRPr="00300BAA">
        <w:rPr>
          <w:rFonts w:ascii="Times New Roman" w:hAnsi="Times New Roman" w:cs="Times New Roman"/>
          <w:lang w:val="es-ES"/>
        </w:rPr>
        <w:t xml:space="preserve"> </w:t>
      </w:r>
      <w:r w:rsidRPr="00300BAA">
        <w:rPr>
          <w:rFonts w:ascii="Times New Roman" w:hAnsi="Times New Roman"/>
          <w:color w:val="000000"/>
        </w:rPr>
        <w:t xml:space="preserve">transformar las lógicas y contenidos del aprendizaje de los niños, niñas y jóvenes del sistema educativo oficial de la ciudad, ofreciendo 40 horas semanales en las escuelas para fortalecer el currículo en las áreas básicas académicas y en la formación integral de los estudiantes. Los objetivos específicos son: </w:t>
      </w:r>
      <w:r>
        <w:rPr>
          <w:rFonts w:ascii="Times New Roman" w:hAnsi="Times New Roman"/>
          <w:color w:val="000000"/>
        </w:rPr>
        <w:t xml:space="preserve">a) </w:t>
      </w:r>
      <w:r w:rsidRPr="00300BAA">
        <w:rPr>
          <w:rFonts w:ascii="Times New Roman" w:hAnsi="Times New Roman"/>
          <w:color w:val="000000"/>
        </w:rPr>
        <w:t>Potenciar en los estudiantes aprendizajes pertinentes contextualizados y críticos en los ejes temáticos desarrollados para el disfrute y la creatividad en la ampliació</w:t>
      </w:r>
      <w:r>
        <w:rPr>
          <w:rFonts w:ascii="Times New Roman" w:hAnsi="Times New Roman"/>
          <w:color w:val="000000"/>
        </w:rPr>
        <w:t xml:space="preserve">n de la jornada escolar; b) </w:t>
      </w:r>
      <w:r w:rsidRPr="00300BAA">
        <w:rPr>
          <w:rFonts w:ascii="Times New Roman" w:hAnsi="Times New Roman"/>
          <w:color w:val="000000"/>
        </w:rPr>
        <w:t>Articular escenarios de la ciudad, agentes educativos y otros saberes al proceso de aprendizaje de los estudiantes</w:t>
      </w:r>
      <w:r>
        <w:rPr>
          <w:rFonts w:ascii="Times New Roman" w:hAnsi="Times New Roman"/>
          <w:color w:val="000000"/>
        </w:rPr>
        <w:t xml:space="preserve">; c) </w:t>
      </w:r>
      <w:r w:rsidRPr="00300BAA">
        <w:rPr>
          <w:rFonts w:ascii="Times New Roman" w:hAnsi="Times New Roman"/>
          <w:color w:val="000000"/>
        </w:rPr>
        <w:t>Implementar estrategias de formación intersectorial que beneficien los estudiantes en jornada escolar de 40 horas semanales</w:t>
      </w:r>
      <w:r>
        <w:rPr>
          <w:rFonts w:ascii="Times New Roman" w:hAnsi="Times New Roman"/>
          <w:color w:val="000000"/>
        </w:rPr>
        <w:t xml:space="preserve">; d) </w:t>
      </w:r>
      <w:r w:rsidRPr="00300BAA">
        <w:rPr>
          <w:rFonts w:ascii="Times New Roman" w:hAnsi="Times New Roman"/>
          <w:color w:val="000000"/>
        </w:rPr>
        <w:t>Generar en los colegios mayores y mejores capacidades de participación, decisión y organización en la innovación de sus procesos curriculares productos de la ampliación de la jornada escolar</w:t>
      </w:r>
      <w:r>
        <w:rPr>
          <w:rFonts w:ascii="Times New Roman" w:hAnsi="Times New Roman"/>
          <w:color w:val="000000"/>
        </w:rPr>
        <w:t xml:space="preserve">; e) </w:t>
      </w:r>
      <w:r w:rsidRPr="00300BAA">
        <w:rPr>
          <w:rFonts w:ascii="Times New Roman" w:hAnsi="Times New Roman"/>
          <w:color w:val="000000"/>
        </w:rPr>
        <w:t xml:space="preserve">Producir conocimiento educativo y pedagógico por medio de la investigación y sistematización de las experiencias </w:t>
      </w:r>
      <w:r w:rsidRPr="00300BAA">
        <w:rPr>
          <w:rFonts w:ascii="Times New Roman" w:hAnsi="Times New Roman"/>
          <w:color w:val="000000"/>
        </w:rPr>
        <w:lastRenderedPageBreak/>
        <w:t>adelantadas en el marco del proyecto</w:t>
      </w:r>
      <w:r>
        <w:rPr>
          <w:rFonts w:ascii="Times New Roman" w:hAnsi="Times New Roman"/>
          <w:color w:val="000000"/>
        </w:rPr>
        <w:t>. Para alcanzar estos objetivos se adelantarán las siguientes actividades:</w:t>
      </w:r>
    </w:p>
    <w:p w:rsidR="000959CF" w:rsidRDefault="000959CF" w:rsidP="000959CF">
      <w:pPr>
        <w:jc w:val="both"/>
        <w:rPr>
          <w:rFonts w:ascii="Times New Roman" w:hAnsi="Times New Roman"/>
          <w:color w:val="000000"/>
        </w:rPr>
      </w:pPr>
    </w:p>
    <w:p w:rsidR="000959CF" w:rsidRPr="00AA402D" w:rsidRDefault="000959CF" w:rsidP="000959CF">
      <w:pPr>
        <w:jc w:val="both"/>
        <w:rPr>
          <w:rFonts w:ascii="Times New Roman" w:eastAsiaTheme="minorHAnsi" w:hAnsi="Times New Roman"/>
          <w:szCs w:val="22"/>
        </w:rPr>
      </w:pPr>
      <w:r>
        <w:rPr>
          <w:rFonts w:ascii="Times New Roman" w:eastAsiaTheme="minorHAnsi" w:hAnsi="Times New Roman"/>
          <w:szCs w:val="22"/>
        </w:rPr>
        <w:t>Dotación: Proveer</w:t>
      </w:r>
      <w:r w:rsidRPr="00AA402D">
        <w:rPr>
          <w:rFonts w:ascii="Times New Roman" w:eastAsiaTheme="minorHAnsi" w:hAnsi="Times New Roman"/>
          <w:szCs w:val="22"/>
        </w:rPr>
        <w:t xml:space="preserve"> a </w:t>
      </w:r>
      <w:r>
        <w:rPr>
          <w:rFonts w:ascii="Times New Roman" w:eastAsiaTheme="minorHAnsi" w:hAnsi="Times New Roman"/>
          <w:szCs w:val="22"/>
        </w:rPr>
        <w:t>100</w:t>
      </w:r>
      <w:r w:rsidRPr="00AA402D">
        <w:rPr>
          <w:rFonts w:ascii="Times New Roman" w:eastAsiaTheme="minorHAnsi" w:hAnsi="Times New Roman"/>
          <w:szCs w:val="22"/>
        </w:rPr>
        <w:t xml:space="preserve"> colegios oficiales de los insumos requeridos para la realización de las actividades de la Jornada Semanal de 40 horas, tales como: material didáctico y pedagógico para los diferentes centros de interés como danza, teatro, tecnologías, entre otros.</w:t>
      </w:r>
      <w:r>
        <w:rPr>
          <w:rFonts w:ascii="Times New Roman" w:eastAsiaTheme="minorHAnsi" w:hAnsi="Times New Roman"/>
          <w:szCs w:val="22"/>
        </w:rPr>
        <w:t xml:space="preserve"> </w:t>
      </w:r>
    </w:p>
    <w:p w:rsidR="000959CF" w:rsidRDefault="000959CF" w:rsidP="000959CF">
      <w:pPr>
        <w:jc w:val="both"/>
        <w:rPr>
          <w:rFonts w:ascii="Times New Roman" w:hAnsi="Times New Roman"/>
          <w:color w:val="000000"/>
        </w:rPr>
      </w:pPr>
    </w:p>
    <w:p w:rsidR="000959CF" w:rsidRPr="00AA402D" w:rsidRDefault="000959CF" w:rsidP="000959CF">
      <w:pPr>
        <w:jc w:val="both"/>
        <w:rPr>
          <w:rFonts w:ascii="Times New Roman" w:eastAsiaTheme="minorHAnsi" w:hAnsi="Times New Roman"/>
          <w:szCs w:val="22"/>
        </w:rPr>
      </w:pPr>
      <w:r>
        <w:rPr>
          <w:rFonts w:ascii="Times New Roman" w:eastAsiaTheme="minorHAnsi" w:hAnsi="Times New Roman"/>
          <w:szCs w:val="22"/>
        </w:rPr>
        <w:t>Infraestructura. R</w:t>
      </w:r>
      <w:r w:rsidRPr="00AA402D">
        <w:rPr>
          <w:rFonts w:ascii="Times New Roman" w:eastAsiaTheme="minorHAnsi" w:hAnsi="Times New Roman"/>
          <w:szCs w:val="22"/>
        </w:rPr>
        <w:t>ealizar</w:t>
      </w:r>
      <w:r>
        <w:rPr>
          <w:rFonts w:ascii="Times New Roman" w:eastAsiaTheme="minorHAnsi" w:hAnsi="Times New Roman"/>
          <w:szCs w:val="22"/>
        </w:rPr>
        <w:t xml:space="preserve"> en 100 colegios</w:t>
      </w:r>
      <w:r w:rsidRPr="00AA402D">
        <w:rPr>
          <w:rFonts w:ascii="Times New Roman" w:eastAsiaTheme="minorHAnsi" w:hAnsi="Times New Roman"/>
          <w:szCs w:val="22"/>
        </w:rPr>
        <w:t xml:space="preserve"> las mejoras locativas y la construcció</w:t>
      </w:r>
      <w:r>
        <w:rPr>
          <w:rFonts w:ascii="Times New Roman" w:eastAsiaTheme="minorHAnsi" w:hAnsi="Times New Roman"/>
          <w:szCs w:val="22"/>
        </w:rPr>
        <w:t xml:space="preserve">n de comedores escolares. </w:t>
      </w:r>
      <w:r w:rsidRPr="00AA402D">
        <w:rPr>
          <w:rFonts w:ascii="Times New Roman" w:eastAsiaTheme="minorHAnsi" w:hAnsi="Times New Roman"/>
          <w:szCs w:val="22"/>
        </w:rPr>
        <w:t>Se garantizará la construcción de comedores escolares</w:t>
      </w:r>
      <w:r>
        <w:rPr>
          <w:rFonts w:ascii="Times New Roman" w:eastAsiaTheme="minorHAnsi" w:hAnsi="Times New Roman"/>
          <w:szCs w:val="22"/>
        </w:rPr>
        <w:t xml:space="preserve"> en los casos donde las condiciones lo permitan o</w:t>
      </w:r>
      <w:r w:rsidRPr="00AA402D">
        <w:rPr>
          <w:rFonts w:ascii="Times New Roman" w:eastAsiaTheme="minorHAnsi" w:hAnsi="Times New Roman"/>
          <w:szCs w:val="22"/>
        </w:rPr>
        <w:t xml:space="preserve"> la implementaci</w:t>
      </w:r>
      <w:r>
        <w:rPr>
          <w:rFonts w:ascii="Times New Roman" w:eastAsiaTheme="minorHAnsi" w:hAnsi="Times New Roman"/>
          <w:szCs w:val="22"/>
        </w:rPr>
        <w:t>ó</w:t>
      </w:r>
      <w:r w:rsidRPr="00AA402D">
        <w:rPr>
          <w:rFonts w:ascii="Times New Roman" w:eastAsiaTheme="minorHAnsi" w:hAnsi="Times New Roman"/>
          <w:szCs w:val="22"/>
        </w:rPr>
        <w:t>n de otras alternativas que faciliten este servicio</w:t>
      </w:r>
      <w:r>
        <w:rPr>
          <w:rFonts w:ascii="Times New Roman" w:eastAsiaTheme="minorHAnsi" w:hAnsi="Times New Roman"/>
          <w:szCs w:val="22"/>
        </w:rPr>
        <w:t>. De igual forma</w:t>
      </w:r>
      <w:r w:rsidRPr="00AA402D">
        <w:rPr>
          <w:rFonts w:ascii="Times New Roman" w:eastAsiaTheme="minorHAnsi" w:hAnsi="Times New Roman"/>
          <w:szCs w:val="22"/>
        </w:rPr>
        <w:t xml:space="preserve"> el mejoramiento de la infraestructura física de las instituciones educativas distritales que así lo requieran, con el fin de contar con establecimientos adecuados y con la capacidad física instalada necesaria</w:t>
      </w:r>
      <w:r>
        <w:rPr>
          <w:rFonts w:ascii="Times New Roman" w:eastAsiaTheme="minorHAnsi" w:hAnsi="Times New Roman"/>
          <w:szCs w:val="22"/>
        </w:rPr>
        <w:t>.</w:t>
      </w:r>
    </w:p>
    <w:p w:rsidR="000959CF" w:rsidRPr="00AA402D" w:rsidRDefault="000959CF" w:rsidP="000959CF">
      <w:pPr>
        <w:jc w:val="both"/>
        <w:rPr>
          <w:rFonts w:ascii="Times New Roman" w:hAnsi="Times New Roman"/>
          <w:color w:val="000000"/>
        </w:rPr>
      </w:pPr>
    </w:p>
    <w:p w:rsidR="000959CF" w:rsidRDefault="000959CF" w:rsidP="000959CF">
      <w:pPr>
        <w:autoSpaceDE w:val="0"/>
        <w:autoSpaceDN w:val="0"/>
        <w:adjustRightInd w:val="0"/>
        <w:jc w:val="both"/>
        <w:rPr>
          <w:rFonts w:ascii="Times New Roman" w:eastAsiaTheme="minorHAnsi" w:hAnsi="Times New Roman"/>
          <w:szCs w:val="22"/>
        </w:rPr>
      </w:pPr>
      <w:r w:rsidRPr="00AA402D">
        <w:rPr>
          <w:rFonts w:ascii="Times New Roman" w:hAnsi="Times New Roman" w:cs="Times New Roman"/>
          <w:lang w:val="es-ES"/>
        </w:rPr>
        <w:t xml:space="preserve">Alimentación. </w:t>
      </w:r>
      <w:r>
        <w:rPr>
          <w:rFonts w:ascii="Times New Roman" w:hAnsi="Times New Roman" w:cs="Times New Roman"/>
          <w:lang w:val="es-ES"/>
        </w:rPr>
        <w:t>Suministrar</w:t>
      </w:r>
      <w:r w:rsidRPr="00AA402D">
        <w:rPr>
          <w:rFonts w:ascii="Times New Roman" w:eastAsiaTheme="minorHAnsi" w:hAnsi="Times New Roman"/>
          <w:szCs w:val="22"/>
        </w:rPr>
        <w:t xml:space="preserve"> a </w:t>
      </w:r>
      <w:r>
        <w:rPr>
          <w:rFonts w:ascii="Times New Roman" w:eastAsiaTheme="minorHAnsi" w:hAnsi="Times New Roman"/>
          <w:szCs w:val="22"/>
        </w:rPr>
        <w:t>250.000</w:t>
      </w:r>
      <w:r w:rsidRPr="00AA402D">
        <w:rPr>
          <w:rFonts w:ascii="Times New Roman" w:eastAsiaTheme="minorHAnsi" w:hAnsi="Times New Roman"/>
          <w:szCs w:val="22"/>
        </w:rPr>
        <w:t xml:space="preserve"> niños</w:t>
      </w:r>
      <w:r w:rsidR="00632A3F">
        <w:rPr>
          <w:rFonts w:ascii="Times New Roman" w:eastAsiaTheme="minorHAnsi" w:hAnsi="Times New Roman"/>
          <w:szCs w:val="22"/>
        </w:rPr>
        <w:t xml:space="preserve"> y</w:t>
      </w:r>
      <w:r>
        <w:rPr>
          <w:rFonts w:ascii="Times New Roman" w:eastAsiaTheme="minorHAnsi" w:hAnsi="Times New Roman"/>
          <w:szCs w:val="22"/>
        </w:rPr>
        <w:t xml:space="preserve"> </w:t>
      </w:r>
      <w:r w:rsidRPr="00AA402D">
        <w:rPr>
          <w:rFonts w:ascii="Times New Roman" w:eastAsiaTheme="minorHAnsi" w:hAnsi="Times New Roman"/>
          <w:szCs w:val="22"/>
        </w:rPr>
        <w:t>niñas</w:t>
      </w:r>
      <w:r>
        <w:rPr>
          <w:rFonts w:ascii="Times New Roman" w:eastAsiaTheme="minorHAnsi" w:hAnsi="Times New Roman"/>
          <w:szCs w:val="22"/>
        </w:rPr>
        <w:t xml:space="preserve"> </w:t>
      </w:r>
      <w:r w:rsidRPr="00AA402D">
        <w:rPr>
          <w:rFonts w:ascii="Times New Roman" w:eastAsiaTheme="minorHAnsi" w:hAnsi="Times New Roman"/>
          <w:szCs w:val="22"/>
        </w:rPr>
        <w:t>d</w:t>
      </w:r>
      <w:r>
        <w:rPr>
          <w:rFonts w:ascii="Times New Roman" w:eastAsiaTheme="minorHAnsi" w:hAnsi="Times New Roman"/>
          <w:szCs w:val="22"/>
        </w:rPr>
        <w:t>e los colegios oficiales un refrigerio r</w:t>
      </w:r>
      <w:r w:rsidRPr="00AA402D">
        <w:rPr>
          <w:rFonts w:ascii="Times New Roman" w:eastAsiaTheme="minorHAnsi" w:hAnsi="Times New Roman"/>
          <w:szCs w:val="22"/>
        </w:rPr>
        <w:t xml:space="preserve">eforzado con los componentes nutricionales necesarios para su participación en las actividades de la jornada escolar de 40 horas semanales. </w:t>
      </w:r>
      <w:r>
        <w:rPr>
          <w:rFonts w:ascii="Times New Roman" w:eastAsiaTheme="minorHAnsi" w:hAnsi="Times New Roman"/>
          <w:szCs w:val="22"/>
        </w:rPr>
        <w:t xml:space="preserve">Se </w:t>
      </w:r>
      <w:r w:rsidRPr="00AA402D">
        <w:rPr>
          <w:rFonts w:ascii="Times New Roman" w:eastAsiaTheme="minorHAnsi" w:hAnsi="Times New Roman"/>
          <w:szCs w:val="22"/>
        </w:rPr>
        <w:t>suministrar</w:t>
      </w:r>
      <w:r>
        <w:rPr>
          <w:rFonts w:ascii="Times New Roman" w:eastAsiaTheme="minorHAnsi" w:hAnsi="Times New Roman"/>
          <w:szCs w:val="22"/>
        </w:rPr>
        <w:t xml:space="preserve">á </w:t>
      </w:r>
      <w:r w:rsidRPr="00AA402D">
        <w:rPr>
          <w:rFonts w:ascii="Times New Roman" w:eastAsiaTheme="minorHAnsi" w:hAnsi="Times New Roman"/>
          <w:szCs w:val="22"/>
        </w:rPr>
        <w:t>comida caliente en los colegios que cuenten con comedor escolar</w:t>
      </w:r>
      <w:r>
        <w:rPr>
          <w:rFonts w:ascii="Times New Roman" w:eastAsiaTheme="minorHAnsi" w:hAnsi="Times New Roman"/>
          <w:szCs w:val="22"/>
        </w:rPr>
        <w:t>.</w:t>
      </w:r>
    </w:p>
    <w:p w:rsidR="000959CF" w:rsidRDefault="000959CF" w:rsidP="000959CF">
      <w:pPr>
        <w:jc w:val="both"/>
        <w:rPr>
          <w:rFonts w:ascii="Times New Roman" w:eastAsiaTheme="minorHAnsi" w:hAnsi="Times New Roman"/>
          <w:szCs w:val="22"/>
        </w:rPr>
      </w:pPr>
    </w:p>
    <w:p w:rsidR="000959CF" w:rsidRDefault="000959CF" w:rsidP="000959CF">
      <w:pPr>
        <w:jc w:val="both"/>
        <w:rPr>
          <w:rFonts w:ascii="Times New Roman" w:eastAsiaTheme="minorHAnsi" w:hAnsi="Times New Roman"/>
          <w:szCs w:val="22"/>
        </w:rPr>
      </w:pPr>
      <w:r>
        <w:rPr>
          <w:rFonts w:ascii="Times New Roman" w:eastAsiaTheme="minorHAnsi" w:hAnsi="Times New Roman"/>
          <w:szCs w:val="22"/>
        </w:rPr>
        <w:t xml:space="preserve">Transporte escolar. </w:t>
      </w:r>
      <w:r w:rsidRPr="00CC5E2F">
        <w:rPr>
          <w:rFonts w:ascii="Times New Roman" w:eastAsiaTheme="minorHAnsi" w:hAnsi="Times New Roman"/>
          <w:szCs w:val="22"/>
        </w:rPr>
        <w:t xml:space="preserve">Dado el aumento de la jornada escolar, es necesario </w:t>
      </w:r>
      <w:r>
        <w:rPr>
          <w:rFonts w:ascii="Times New Roman" w:eastAsiaTheme="minorHAnsi" w:hAnsi="Times New Roman"/>
          <w:szCs w:val="22"/>
        </w:rPr>
        <w:t xml:space="preserve">garantizar </w:t>
      </w:r>
      <w:r w:rsidRPr="00CC5E2F">
        <w:rPr>
          <w:rFonts w:ascii="Times New Roman" w:eastAsiaTheme="minorHAnsi" w:hAnsi="Times New Roman"/>
          <w:szCs w:val="22"/>
        </w:rPr>
        <w:t xml:space="preserve">el desplazamiento seguro de </w:t>
      </w:r>
      <w:r>
        <w:rPr>
          <w:rFonts w:ascii="Times New Roman" w:eastAsiaTheme="minorHAnsi" w:hAnsi="Times New Roman"/>
          <w:szCs w:val="22"/>
        </w:rPr>
        <w:t>250.000</w:t>
      </w:r>
      <w:r w:rsidRPr="00CC5E2F">
        <w:rPr>
          <w:rFonts w:ascii="Times New Roman" w:eastAsiaTheme="minorHAnsi" w:hAnsi="Times New Roman"/>
          <w:szCs w:val="22"/>
        </w:rPr>
        <w:t xml:space="preserve"> estudiantes de</w:t>
      </w:r>
      <w:r>
        <w:rPr>
          <w:rFonts w:ascii="Times New Roman" w:eastAsiaTheme="minorHAnsi" w:hAnsi="Times New Roman"/>
          <w:szCs w:val="22"/>
        </w:rPr>
        <w:t xml:space="preserve"> su casa al colegio y viceversa</w:t>
      </w:r>
      <w:r w:rsidRPr="00CC5E2F">
        <w:rPr>
          <w:rFonts w:ascii="Times New Roman" w:eastAsiaTheme="minorHAnsi" w:hAnsi="Times New Roman"/>
          <w:szCs w:val="22"/>
        </w:rPr>
        <w:t xml:space="preserve"> y hac</w:t>
      </w:r>
      <w:r>
        <w:rPr>
          <w:rFonts w:ascii="Times New Roman" w:eastAsiaTheme="minorHAnsi" w:hAnsi="Times New Roman"/>
          <w:szCs w:val="22"/>
        </w:rPr>
        <w:t>i</w:t>
      </w:r>
      <w:r w:rsidRPr="00CC5E2F">
        <w:rPr>
          <w:rFonts w:ascii="Times New Roman" w:eastAsiaTheme="minorHAnsi" w:hAnsi="Times New Roman"/>
          <w:szCs w:val="22"/>
        </w:rPr>
        <w:t>a los escenarios de aprendizaje cuando fuere necesario.</w:t>
      </w:r>
    </w:p>
    <w:p w:rsidR="000959CF" w:rsidRDefault="000959CF" w:rsidP="000959CF">
      <w:pPr>
        <w:jc w:val="both"/>
        <w:rPr>
          <w:rFonts w:ascii="Times New Roman" w:eastAsiaTheme="minorHAnsi" w:hAnsi="Times New Roman"/>
          <w:szCs w:val="22"/>
        </w:rPr>
      </w:pPr>
      <w:r w:rsidRPr="00CC5E2F">
        <w:rPr>
          <w:rFonts w:ascii="Times New Roman" w:eastAsiaTheme="minorHAnsi" w:hAnsi="Times New Roman"/>
          <w:szCs w:val="22"/>
        </w:rPr>
        <w:br/>
      </w:r>
      <w:r w:rsidRPr="004B295A">
        <w:rPr>
          <w:rFonts w:ascii="Times New Roman" w:eastAsiaTheme="minorHAnsi" w:hAnsi="Times New Roman"/>
          <w:szCs w:val="22"/>
        </w:rPr>
        <w:t xml:space="preserve">Talento humano. </w:t>
      </w:r>
      <w:r>
        <w:rPr>
          <w:rFonts w:ascii="Times New Roman" w:eastAsiaTheme="minorHAnsi" w:hAnsi="Times New Roman"/>
          <w:szCs w:val="22"/>
        </w:rPr>
        <w:t xml:space="preserve">Vincular a </w:t>
      </w:r>
      <w:r w:rsidRPr="004B295A">
        <w:rPr>
          <w:rFonts w:ascii="Times New Roman" w:eastAsiaTheme="minorHAnsi" w:hAnsi="Times New Roman"/>
          <w:szCs w:val="22"/>
        </w:rPr>
        <w:t>4.860 docentes y otros agentes educativos necesario</w:t>
      </w:r>
      <w:r>
        <w:rPr>
          <w:rFonts w:ascii="Times New Roman" w:eastAsiaTheme="minorHAnsi" w:hAnsi="Times New Roman"/>
          <w:szCs w:val="22"/>
        </w:rPr>
        <w:t>s</w:t>
      </w:r>
      <w:r w:rsidRPr="004B295A">
        <w:rPr>
          <w:rFonts w:ascii="Times New Roman" w:eastAsiaTheme="minorHAnsi" w:hAnsi="Times New Roman"/>
          <w:szCs w:val="22"/>
        </w:rPr>
        <w:t xml:space="preserve"> para el desarrollo de </w:t>
      </w:r>
      <w:r w:rsidRPr="005A452A">
        <w:rPr>
          <w:rFonts w:ascii="Times New Roman" w:eastAsiaTheme="minorHAnsi" w:hAnsi="Times New Roman"/>
          <w:szCs w:val="22"/>
        </w:rPr>
        <w:t>los ejes temáticos / centros de interés</w:t>
      </w:r>
      <w:r w:rsidRPr="005A452A">
        <w:rPr>
          <w:rFonts w:ascii="Times New Roman" w:eastAsiaTheme="minorHAnsi" w:hAnsi="Times New Roman"/>
          <w:bCs/>
          <w:szCs w:val="22"/>
        </w:rPr>
        <w:t xml:space="preserve">, </w:t>
      </w:r>
      <w:r w:rsidRPr="005A452A">
        <w:rPr>
          <w:rFonts w:ascii="Times New Roman" w:eastAsiaTheme="minorHAnsi" w:hAnsi="Times New Roman"/>
          <w:szCs w:val="22"/>
        </w:rPr>
        <w:t>articulados al PEI y al currículo del colegio. La contratación</w:t>
      </w:r>
      <w:r>
        <w:rPr>
          <w:rFonts w:ascii="Times New Roman" w:eastAsiaTheme="minorHAnsi" w:hAnsi="Times New Roman"/>
          <w:szCs w:val="22"/>
        </w:rPr>
        <w:t xml:space="preserve"> </w:t>
      </w:r>
      <w:r w:rsidRPr="00041AC0">
        <w:rPr>
          <w:rFonts w:ascii="Times New Roman" w:eastAsiaTheme="minorHAnsi" w:hAnsi="Times New Roman"/>
          <w:szCs w:val="22"/>
        </w:rPr>
        <w:t>se determinar</w:t>
      </w:r>
      <w:r>
        <w:rPr>
          <w:rFonts w:ascii="Times New Roman" w:eastAsiaTheme="minorHAnsi" w:hAnsi="Times New Roman"/>
          <w:szCs w:val="22"/>
        </w:rPr>
        <w:t>á</w:t>
      </w:r>
      <w:r w:rsidRPr="00041AC0">
        <w:rPr>
          <w:rFonts w:ascii="Times New Roman" w:eastAsiaTheme="minorHAnsi" w:hAnsi="Times New Roman"/>
          <w:szCs w:val="22"/>
        </w:rPr>
        <w:t xml:space="preserve"> a partir de las necesidades y programaci</w:t>
      </w:r>
      <w:r>
        <w:rPr>
          <w:rFonts w:ascii="Times New Roman" w:eastAsiaTheme="minorHAnsi" w:hAnsi="Times New Roman"/>
          <w:szCs w:val="22"/>
        </w:rPr>
        <w:t xml:space="preserve">ón de actividades </w:t>
      </w:r>
      <w:r w:rsidRPr="00041AC0">
        <w:rPr>
          <w:rFonts w:ascii="Times New Roman" w:eastAsiaTheme="minorHAnsi" w:hAnsi="Times New Roman"/>
          <w:szCs w:val="22"/>
        </w:rPr>
        <w:t xml:space="preserve">de </w:t>
      </w:r>
      <w:r>
        <w:rPr>
          <w:rFonts w:ascii="Times New Roman" w:eastAsiaTheme="minorHAnsi" w:hAnsi="Times New Roman"/>
          <w:szCs w:val="22"/>
        </w:rPr>
        <w:t>cada uno de los colegios, como docentes en c</w:t>
      </w:r>
      <w:r w:rsidRPr="00041AC0">
        <w:rPr>
          <w:rFonts w:ascii="Times New Roman" w:eastAsiaTheme="minorHAnsi" w:hAnsi="Times New Roman"/>
          <w:szCs w:val="22"/>
        </w:rPr>
        <w:t>omisi</w:t>
      </w:r>
      <w:r>
        <w:rPr>
          <w:rFonts w:ascii="Times New Roman" w:eastAsiaTheme="minorHAnsi" w:hAnsi="Times New Roman"/>
          <w:szCs w:val="22"/>
        </w:rPr>
        <w:t xml:space="preserve">ón, docentes en provisionalidad y docentes con horas extras. Igualmente se articulará </w:t>
      </w:r>
      <w:r w:rsidRPr="00041AC0">
        <w:rPr>
          <w:rFonts w:ascii="Times New Roman" w:eastAsiaTheme="minorHAnsi" w:hAnsi="Times New Roman"/>
          <w:szCs w:val="22"/>
        </w:rPr>
        <w:t xml:space="preserve">otro tipo de agentes </w:t>
      </w:r>
      <w:r>
        <w:rPr>
          <w:rFonts w:ascii="Times New Roman" w:eastAsiaTheme="minorHAnsi" w:hAnsi="Times New Roman"/>
          <w:szCs w:val="22"/>
        </w:rPr>
        <w:t>educativos provenientes de las s</w:t>
      </w:r>
      <w:r w:rsidRPr="00041AC0">
        <w:rPr>
          <w:rFonts w:ascii="Times New Roman" w:eastAsiaTheme="minorHAnsi" w:hAnsi="Times New Roman"/>
          <w:szCs w:val="22"/>
        </w:rPr>
        <w:t>ecretar</w:t>
      </w:r>
      <w:r>
        <w:rPr>
          <w:rFonts w:ascii="Times New Roman" w:eastAsiaTheme="minorHAnsi" w:hAnsi="Times New Roman"/>
          <w:szCs w:val="22"/>
        </w:rPr>
        <w:t>ías y dependencias d</w:t>
      </w:r>
      <w:r w:rsidRPr="00041AC0">
        <w:rPr>
          <w:rFonts w:ascii="Times New Roman" w:eastAsiaTheme="minorHAnsi" w:hAnsi="Times New Roman"/>
          <w:szCs w:val="22"/>
        </w:rPr>
        <w:t>istritales participantes de la estrategia intersectorial y/o de organizaciones civiles y empresariales, con experticias y saberes e</w:t>
      </w:r>
      <w:r>
        <w:rPr>
          <w:rFonts w:ascii="Times New Roman" w:eastAsiaTheme="minorHAnsi" w:hAnsi="Times New Roman"/>
          <w:szCs w:val="22"/>
        </w:rPr>
        <w:t>n estos ejes y centros de interé</w:t>
      </w:r>
      <w:r w:rsidRPr="00041AC0">
        <w:rPr>
          <w:rFonts w:ascii="Times New Roman" w:eastAsiaTheme="minorHAnsi" w:hAnsi="Times New Roman"/>
          <w:szCs w:val="22"/>
        </w:rPr>
        <w:t>s.</w:t>
      </w:r>
    </w:p>
    <w:p w:rsidR="000959CF" w:rsidRDefault="000959CF" w:rsidP="000959CF">
      <w:pPr>
        <w:jc w:val="both"/>
        <w:rPr>
          <w:rFonts w:ascii="Times New Roman" w:eastAsiaTheme="minorHAnsi" w:hAnsi="Times New Roman"/>
          <w:szCs w:val="22"/>
        </w:rPr>
      </w:pPr>
    </w:p>
    <w:p w:rsidR="00EF1F83" w:rsidRPr="000959CF" w:rsidRDefault="000959CF" w:rsidP="00181318">
      <w:pPr>
        <w:jc w:val="both"/>
        <w:rPr>
          <w:rFonts w:ascii="Times New Roman" w:eastAsiaTheme="minorHAnsi" w:hAnsi="Times New Roman"/>
          <w:szCs w:val="22"/>
        </w:rPr>
      </w:pPr>
      <w:r w:rsidRPr="00AB28C7">
        <w:rPr>
          <w:rFonts w:ascii="Times New Roman" w:eastAsiaTheme="minorHAnsi" w:hAnsi="Times New Roman"/>
          <w:szCs w:val="22"/>
        </w:rPr>
        <w:t xml:space="preserve">Desarrollo curricular para la formación integral. El proyecto adelantará convenios interadministrativos e interinstitucionales para proveer de escenarios u otro tipo de recursos para el desarrollo de los </w:t>
      </w:r>
      <w:r>
        <w:rPr>
          <w:rFonts w:ascii="Times New Roman" w:eastAsiaTheme="minorHAnsi" w:hAnsi="Times New Roman"/>
          <w:szCs w:val="22"/>
        </w:rPr>
        <w:t>ejes temáticos / centros de interés,</w:t>
      </w:r>
      <w:r w:rsidRPr="00AB28C7">
        <w:rPr>
          <w:rFonts w:ascii="Times New Roman" w:eastAsiaTheme="minorHAnsi" w:hAnsi="Times New Roman"/>
          <w:szCs w:val="22"/>
        </w:rPr>
        <w:t xml:space="preserve"> multiplicando las oportunidades de nuevos aprendizajes con estrategias pedagógicas innovadoras</w:t>
      </w:r>
      <w:r>
        <w:rPr>
          <w:rFonts w:ascii="Times New Roman" w:eastAsiaTheme="minorHAnsi" w:hAnsi="Times New Roman"/>
          <w:szCs w:val="22"/>
        </w:rPr>
        <w:t xml:space="preserve"> en 100 colegios</w:t>
      </w:r>
      <w:r w:rsidRPr="00AB28C7">
        <w:rPr>
          <w:rFonts w:ascii="Times New Roman" w:eastAsiaTheme="minorHAnsi" w:hAnsi="Times New Roman"/>
          <w:szCs w:val="22"/>
        </w:rPr>
        <w:t xml:space="preserve">. </w:t>
      </w:r>
      <w:r>
        <w:rPr>
          <w:rFonts w:ascii="Times New Roman" w:eastAsiaTheme="minorHAnsi" w:hAnsi="Times New Roman"/>
          <w:szCs w:val="22"/>
        </w:rPr>
        <w:t>Igualmente se conformarán equipos pedagógicos  temáticos y territoriales que acompañen a los colegios en el desarrollo  del proyecto de Jornada Escolar de 40 horas y contribuyan al proceso de formación, actualización y capacitación de los docentes y agentes educativos.</w:t>
      </w:r>
    </w:p>
    <w:p w:rsidR="00181318" w:rsidRPr="00181318" w:rsidRDefault="00181318" w:rsidP="00181318">
      <w:pPr>
        <w:pStyle w:val="Ttulo3"/>
        <w:rPr>
          <w:rFonts w:ascii="Times New Roman" w:hAnsi="Times New Roman"/>
          <w:i/>
        </w:rPr>
      </w:pPr>
      <w:bookmarkStart w:id="30" w:name="_Toc362358050"/>
      <w:r>
        <w:rPr>
          <w:rFonts w:ascii="Times New Roman" w:hAnsi="Times New Roman"/>
          <w:i/>
        </w:rPr>
        <w:t xml:space="preserve">3.3.2 </w:t>
      </w:r>
      <w:r w:rsidRPr="00181318">
        <w:rPr>
          <w:rFonts w:ascii="Times New Roman" w:hAnsi="Times New Roman"/>
          <w:i/>
        </w:rPr>
        <w:t>Educación inicial – atención integral a la primera infancia</w:t>
      </w:r>
      <w:bookmarkEnd w:id="30"/>
    </w:p>
    <w:p w:rsidR="00181318" w:rsidRPr="00F1703A" w:rsidRDefault="00181318" w:rsidP="00181318">
      <w:pPr>
        <w:jc w:val="both"/>
        <w:rPr>
          <w:rFonts w:ascii="Times New Roman" w:hAnsi="Times New Roman" w:cs="Times New Roman"/>
        </w:rPr>
      </w:pPr>
    </w:p>
    <w:p w:rsidR="002179D5" w:rsidRDefault="002179D5" w:rsidP="002179D5">
      <w:pPr>
        <w:jc w:val="both"/>
        <w:rPr>
          <w:rFonts w:ascii="Times New Roman" w:hAnsi="Times New Roman" w:cs="Times New Roman"/>
        </w:rPr>
      </w:pPr>
      <w:r w:rsidRPr="006A09DA">
        <w:rPr>
          <w:rFonts w:ascii="Times New Roman" w:hAnsi="Times New Roman" w:cs="Times New Roman"/>
          <w:bCs/>
        </w:rPr>
        <w:t>Las doctrinas de infancia del siglo XXI</w:t>
      </w:r>
      <w:r>
        <w:rPr>
          <w:rFonts w:ascii="Times New Roman" w:hAnsi="Times New Roman" w:cs="Times New Roman"/>
          <w:bCs/>
        </w:rPr>
        <w:t xml:space="preserve"> </w:t>
      </w:r>
      <w:r w:rsidRPr="006A09DA">
        <w:rPr>
          <w:rFonts w:ascii="Times New Roman" w:hAnsi="Times New Roman" w:cs="Times New Roman"/>
          <w:bCs/>
        </w:rPr>
        <w:t>han hecho un llamado al mundo entero a reflexionar en torno a las políticas públicas desarr</w:t>
      </w:r>
      <w:r>
        <w:rPr>
          <w:rFonts w:ascii="Times New Roman" w:hAnsi="Times New Roman" w:cs="Times New Roman"/>
          <w:bCs/>
        </w:rPr>
        <w:t>olladas a favor de la atención</w:t>
      </w:r>
      <w:r w:rsidRPr="006A09DA">
        <w:rPr>
          <w:rFonts w:ascii="Times New Roman" w:hAnsi="Times New Roman" w:cs="Times New Roman"/>
          <w:bCs/>
        </w:rPr>
        <w:t xml:space="preserve"> integral de la primera infancia. Coinciden en que </w:t>
      </w:r>
      <w:r w:rsidRPr="006A09DA">
        <w:rPr>
          <w:rFonts w:ascii="Times New Roman" w:hAnsi="Times New Roman" w:cs="Times New Roman"/>
        </w:rPr>
        <w:t xml:space="preserve">la inversión en su atención supone a largo plazo </w:t>
      </w:r>
      <w:r w:rsidRPr="006A09DA">
        <w:rPr>
          <w:rFonts w:ascii="Times New Roman" w:hAnsi="Times New Roman" w:cs="Times New Roman"/>
        </w:rPr>
        <w:lastRenderedPageBreak/>
        <w:t>grandes retornos económicos (ahorros en salud, criminalidad, formación de capital humano), y la creación y fortalecimiento del capital social</w:t>
      </w:r>
      <w:r w:rsidRPr="006A09DA">
        <w:rPr>
          <w:rStyle w:val="Refdenotaalpie"/>
          <w:rFonts w:ascii="Times New Roman" w:hAnsi="Times New Roman" w:cs="Times New Roman"/>
        </w:rPr>
        <w:footnoteReference w:id="90"/>
      </w:r>
      <w:r w:rsidRPr="006A09DA">
        <w:rPr>
          <w:rFonts w:ascii="Times New Roman" w:hAnsi="Times New Roman" w:cs="Times New Roman"/>
        </w:rPr>
        <w:t>. “Garantizar una atención integral en la primera infancia es una oportunidad única para impulsar el desarrollo humano (…). La educación inicial posee amplios efectos sobre el desempeño escolar y académico y es determinante, tanto para el desarrollo humano como para el económico”</w:t>
      </w:r>
      <w:r w:rsidRPr="006A09DA">
        <w:rPr>
          <w:rStyle w:val="Refdenotaalpie"/>
          <w:rFonts w:ascii="Times New Roman" w:hAnsi="Times New Roman" w:cs="Times New Roman"/>
        </w:rPr>
        <w:footnoteReference w:id="91"/>
      </w:r>
      <w:r w:rsidRPr="006A09DA">
        <w:rPr>
          <w:rFonts w:ascii="Times New Roman" w:hAnsi="Times New Roman" w:cs="Times New Roman"/>
        </w:rPr>
        <w:t>. Estudios en Uruguay</w:t>
      </w:r>
      <w:r w:rsidRPr="006A09DA">
        <w:rPr>
          <w:rStyle w:val="Refdenotaalpie"/>
          <w:rFonts w:ascii="Times New Roman" w:hAnsi="Times New Roman" w:cs="Times New Roman"/>
        </w:rPr>
        <w:footnoteReference w:id="92"/>
      </w:r>
      <w:r w:rsidRPr="006A09DA">
        <w:rPr>
          <w:rFonts w:ascii="Times New Roman" w:hAnsi="Times New Roman" w:cs="Times New Roman"/>
        </w:rPr>
        <w:t xml:space="preserve"> y Perú</w:t>
      </w:r>
      <w:r w:rsidRPr="006A09DA">
        <w:rPr>
          <w:rStyle w:val="Refdenotaalpie"/>
          <w:rFonts w:ascii="Times New Roman" w:hAnsi="Times New Roman" w:cs="Times New Roman"/>
        </w:rPr>
        <w:footnoteReference w:id="93"/>
      </w:r>
      <w:r>
        <w:rPr>
          <w:rFonts w:ascii="Times New Roman" w:hAnsi="Times New Roman" w:cs="Times New Roman"/>
        </w:rPr>
        <w:t xml:space="preserve"> </w:t>
      </w:r>
      <w:r w:rsidRPr="006A09DA">
        <w:rPr>
          <w:rFonts w:ascii="Times New Roman" w:hAnsi="Times New Roman" w:cs="Times New Roman"/>
        </w:rPr>
        <w:t xml:space="preserve">confirman que al valorar conjuntamente niños y niñas con y sin educación inicial, se aprecia el impacto positivo que ésta tiene sobre la motricidad fina, el aspecto social y las competencias lingüísticas y cognitivas, ya que en todos los casos evaluados, los escolares que han disfrutado de esta educación obtienen mayores puntajes en las áreas de estudio, y la tasa de repitencia escolar en la educación básica es sustancialmente más baja </w:t>
      </w:r>
      <w:r>
        <w:rPr>
          <w:rFonts w:ascii="Times New Roman" w:hAnsi="Times New Roman" w:cs="Times New Roman"/>
        </w:rPr>
        <w:t>en</w:t>
      </w:r>
      <w:r w:rsidRPr="006A09DA">
        <w:rPr>
          <w:rFonts w:ascii="Times New Roman" w:hAnsi="Times New Roman" w:cs="Times New Roman"/>
        </w:rPr>
        <w:t xml:space="preserve"> aquellos que cursaron educación inicial.</w:t>
      </w:r>
      <w:r>
        <w:rPr>
          <w:rFonts w:ascii="Times New Roman" w:hAnsi="Times New Roman" w:cs="Times New Roman"/>
        </w:rPr>
        <w:t xml:space="preserve"> </w:t>
      </w:r>
    </w:p>
    <w:p w:rsidR="002179D5" w:rsidRDefault="002179D5" w:rsidP="002179D5">
      <w:pPr>
        <w:jc w:val="both"/>
        <w:rPr>
          <w:rFonts w:ascii="Times New Roman" w:hAnsi="Times New Roman" w:cs="Times New Roman"/>
        </w:rPr>
      </w:pPr>
    </w:p>
    <w:p w:rsidR="002179D5" w:rsidRPr="00F1703A" w:rsidRDefault="002179D5" w:rsidP="002179D5">
      <w:pPr>
        <w:jc w:val="both"/>
        <w:rPr>
          <w:rFonts w:ascii="Times New Roman" w:hAnsi="Times New Roman" w:cs="Times New Roman"/>
          <w:lang w:val="es-CO"/>
        </w:rPr>
      </w:pPr>
      <w:r>
        <w:rPr>
          <w:rFonts w:ascii="Times New Roman" w:hAnsi="Times New Roman" w:cs="Times New Roman"/>
        </w:rPr>
        <w:t>Es por ello que l</w:t>
      </w:r>
      <w:r w:rsidRPr="00F1703A">
        <w:rPr>
          <w:rFonts w:ascii="Times New Roman" w:hAnsi="Times New Roman" w:cs="Times New Roman"/>
          <w:lang w:val="es-ES"/>
        </w:rPr>
        <w:t xml:space="preserve">a educación inicial, se ha venido fortaleciendo en </w:t>
      </w:r>
      <w:r>
        <w:rPr>
          <w:rFonts w:ascii="Times New Roman" w:hAnsi="Times New Roman" w:cs="Times New Roman"/>
          <w:lang w:val="es-ES"/>
        </w:rPr>
        <w:t xml:space="preserve">el </w:t>
      </w:r>
      <w:r w:rsidRPr="00F1703A">
        <w:rPr>
          <w:rFonts w:ascii="Times New Roman" w:hAnsi="Times New Roman" w:cs="Times New Roman"/>
          <w:lang w:val="es-ES"/>
        </w:rPr>
        <w:t>mundo entero, en tanto se valora que trabajar por l</w:t>
      </w:r>
      <w:r w:rsidRPr="00F1703A">
        <w:rPr>
          <w:rFonts w:ascii="Times New Roman" w:hAnsi="Times New Roman" w:cs="Times New Roman"/>
          <w:lang w:val="es-CO"/>
        </w:rPr>
        <w:t>a primera infancia tiene una importancia crucial, puesto que es en los años iníciales durante los cuales se sientan las bases y ocurren los cambios y aprendizajes más significativos para la vida de una persona, y el establecimiento de los primeros vínculos afectivos que dejarán huella y trazarán la base afectiva y emocional sobre la cual se construye la personalidad del individuo.</w:t>
      </w:r>
      <w:r w:rsidRPr="00F1703A">
        <w:rPr>
          <w:rFonts w:ascii="Times New Roman" w:hAnsi="Times New Roman" w:cs="Times New Roman"/>
          <w:lang w:val="es-ES"/>
        </w:rPr>
        <w:t xml:space="preserve"> </w:t>
      </w:r>
    </w:p>
    <w:p w:rsidR="002179D5" w:rsidRDefault="002179D5" w:rsidP="00181318">
      <w:pPr>
        <w:jc w:val="both"/>
        <w:rPr>
          <w:rFonts w:ascii="Times New Roman" w:hAnsi="Times New Roman" w:cs="Times New Roman"/>
        </w:rPr>
      </w:pPr>
    </w:p>
    <w:p w:rsidR="002179D5" w:rsidRPr="00F1703A" w:rsidRDefault="002179D5" w:rsidP="002179D5">
      <w:pPr>
        <w:jc w:val="both"/>
        <w:rPr>
          <w:rFonts w:ascii="Times New Roman" w:hAnsi="Times New Roman" w:cs="Times New Roman"/>
          <w:lang w:val="es-CO"/>
        </w:rPr>
      </w:pPr>
      <w:r w:rsidRPr="00F1703A">
        <w:rPr>
          <w:rFonts w:ascii="Times New Roman" w:hAnsi="Times New Roman" w:cs="Times New Roman"/>
          <w:lang w:val="es-ES"/>
        </w:rPr>
        <w:t xml:space="preserve">La Educación inicial en los colegios de Bogotá, es una apuesta por los derechos de los niños y las niñas en la ciudad, para disfrutar y </w:t>
      </w:r>
      <w:r w:rsidRPr="00F1703A">
        <w:rPr>
          <w:rFonts w:ascii="Times New Roman" w:hAnsi="Times New Roman" w:cs="Times New Roman"/>
          <w:lang w:val="es-CO"/>
        </w:rPr>
        <w:t>aprender desde la primera infancia. Esta</w:t>
      </w:r>
      <w:r w:rsidRPr="00F1703A">
        <w:rPr>
          <w:rFonts w:ascii="Times New Roman" w:hAnsi="Times New Roman" w:cs="Times New Roman"/>
          <w:lang w:val="es-ES"/>
        </w:rPr>
        <w:t xml:space="preserve"> apuesta se materializa en la posibilidad de ingresar al colegio desde los tres años de edad, accediendo a educación de calidad, en pre-jardín,  jardín y transición. </w:t>
      </w:r>
    </w:p>
    <w:p w:rsidR="00181318" w:rsidRPr="00F1703A" w:rsidRDefault="00181318" w:rsidP="00181318">
      <w:pPr>
        <w:jc w:val="both"/>
        <w:rPr>
          <w:rFonts w:ascii="Times New Roman" w:hAnsi="Times New Roman" w:cs="Times New Roman"/>
          <w:lang w:val="es-CO"/>
        </w:rPr>
      </w:pPr>
    </w:p>
    <w:p w:rsidR="00181318" w:rsidRPr="00F1703A" w:rsidRDefault="002179D5" w:rsidP="00181318">
      <w:pPr>
        <w:jc w:val="both"/>
        <w:rPr>
          <w:rFonts w:ascii="Times New Roman" w:hAnsi="Times New Roman" w:cs="Times New Roman"/>
          <w:lang w:val="es-CO"/>
        </w:rPr>
      </w:pPr>
      <w:r>
        <w:rPr>
          <w:rFonts w:ascii="Times New Roman" w:hAnsi="Times New Roman" w:cs="Times New Roman"/>
          <w:lang w:val="es-ES"/>
        </w:rPr>
        <w:t>Asimismo,</w:t>
      </w:r>
      <w:r w:rsidR="00181318" w:rsidRPr="00F1703A">
        <w:rPr>
          <w:rFonts w:ascii="Times New Roman" w:hAnsi="Times New Roman" w:cs="Times New Roman"/>
          <w:lang w:val="es-ES"/>
        </w:rPr>
        <w:t xml:space="preserve"> es una apuesta por reconocer</w:t>
      </w:r>
      <w:r>
        <w:rPr>
          <w:rFonts w:ascii="Times New Roman" w:hAnsi="Times New Roman" w:cs="Times New Roman"/>
          <w:lang w:val="es-ES"/>
        </w:rPr>
        <w:t xml:space="preserve"> </w:t>
      </w:r>
      <w:r w:rsidR="00181318" w:rsidRPr="00F1703A">
        <w:rPr>
          <w:rFonts w:ascii="Times New Roman" w:hAnsi="Times New Roman" w:cs="Times New Roman"/>
          <w:lang w:val="es-ES"/>
        </w:rPr>
        <w:t>la</w:t>
      </w:r>
      <w:r>
        <w:rPr>
          <w:rFonts w:ascii="Times New Roman" w:hAnsi="Times New Roman" w:cs="Times New Roman"/>
          <w:lang w:val="es-ES"/>
        </w:rPr>
        <w:t xml:space="preserve"> educación inicial</w:t>
      </w:r>
      <w:r w:rsidR="00181318" w:rsidRPr="00F1703A">
        <w:rPr>
          <w:rFonts w:ascii="Times New Roman" w:hAnsi="Times New Roman" w:cs="Times New Roman"/>
          <w:lang w:val="es-ES"/>
        </w:rPr>
        <w:t xml:space="preserve"> en sí misma, y no como una preparación para el siguiente ciclo, en ese sentido se construye una propuesta pedagógica desde los pilares de la educación inicial, juego, arte, literatura y exploración del medio, que apuntan al desarrollo integral desde las dimensiones del desarrollo personal </w:t>
      </w:r>
      <w:r w:rsidR="00181318" w:rsidRPr="00F1703A">
        <w:rPr>
          <w:rFonts w:ascii="Times New Roman" w:hAnsi="Times New Roman" w:cs="Times New Roman"/>
          <w:lang w:val="es-CO"/>
        </w:rPr>
        <w:t>- social, corporal, comunicativa, artística y cognitiva.</w:t>
      </w:r>
    </w:p>
    <w:p w:rsidR="00181318" w:rsidRPr="00F1703A" w:rsidRDefault="00181318" w:rsidP="00181318">
      <w:pPr>
        <w:jc w:val="both"/>
        <w:rPr>
          <w:rFonts w:ascii="Times New Roman" w:hAnsi="Times New Roman" w:cs="Times New Roman"/>
          <w:b/>
          <w:sz w:val="22"/>
          <w:szCs w:val="22"/>
          <w:lang w:val="es-CO"/>
        </w:rPr>
      </w:pPr>
      <w:r w:rsidRPr="00F1703A">
        <w:rPr>
          <w:rFonts w:ascii="Times New Roman" w:hAnsi="Times New Roman" w:cs="Times New Roman"/>
          <w:b/>
          <w:sz w:val="22"/>
          <w:szCs w:val="22"/>
          <w:lang w:val="es-CO"/>
        </w:rPr>
        <w:object w:dxaOrig="7216" w:dyaOrig="5390">
          <v:shape id="_x0000_i1027" type="#_x0000_t75" style="width:438pt;height:204.75pt" o:ole="">
            <v:imagedata r:id="rId30" o:title=""/>
          </v:shape>
          <o:OLEObject Type="Embed" ProgID="PowerPoint.Slide.12" ShapeID="_x0000_i1027" DrawAspect="Content" ObjectID="_1445506975" r:id="rId31"/>
        </w:object>
      </w:r>
      <w:r w:rsidRPr="00F1703A">
        <w:rPr>
          <w:rFonts w:ascii="Times New Roman" w:hAnsi="Times New Roman" w:cs="Times New Roman"/>
          <w:b/>
          <w:sz w:val="22"/>
          <w:szCs w:val="22"/>
          <w:lang w:val="es-ES"/>
        </w:rPr>
        <w:t xml:space="preserve"> </w:t>
      </w:r>
    </w:p>
    <w:p w:rsidR="00E36AB2" w:rsidRPr="00E36AB2" w:rsidRDefault="00181318" w:rsidP="00E36AB2">
      <w:pPr>
        <w:jc w:val="both"/>
        <w:rPr>
          <w:rFonts w:ascii="Times New Roman" w:hAnsi="Times New Roman" w:cs="Times New Roman"/>
          <w:lang w:val="es-CO"/>
        </w:rPr>
      </w:pPr>
      <w:r w:rsidRPr="00F1703A">
        <w:rPr>
          <w:rFonts w:ascii="Times New Roman" w:hAnsi="Times New Roman" w:cs="Times New Roman"/>
          <w:lang w:val="es-CO"/>
        </w:rPr>
        <w:t>Los pilares de la Educación son las actividades</w:t>
      </w:r>
      <w:r w:rsidR="00E36AB2">
        <w:rPr>
          <w:rFonts w:ascii="Times New Roman" w:hAnsi="Times New Roman" w:cs="Times New Roman"/>
          <w:lang w:val="es-CO"/>
        </w:rPr>
        <w:t xml:space="preserve"> propias de la primera infancia. </w:t>
      </w:r>
      <w:r w:rsidRPr="00F1703A">
        <w:rPr>
          <w:rFonts w:ascii="Times New Roman" w:hAnsi="Times New Roman" w:cs="Times New Roman"/>
          <w:lang w:val="es-CO"/>
        </w:rPr>
        <w:t xml:space="preserve"> </w:t>
      </w:r>
      <w:r w:rsidR="00E36AB2" w:rsidRPr="00E36AB2">
        <w:rPr>
          <w:rFonts w:ascii="Times New Roman" w:hAnsi="Times New Roman" w:cs="Times New Roman"/>
          <w:lang w:val="es-CO"/>
        </w:rPr>
        <w:t>Apuntan al</w:t>
      </w:r>
    </w:p>
    <w:p w:rsidR="00181318" w:rsidRPr="00E36AB2" w:rsidRDefault="00E36AB2" w:rsidP="00E36AB2">
      <w:pPr>
        <w:jc w:val="both"/>
        <w:rPr>
          <w:rFonts w:ascii="Times New Roman" w:hAnsi="Times New Roman" w:cs="Times New Roman"/>
          <w:lang w:val="es-CO"/>
        </w:rPr>
      </w:pPr>
      <w:r w:rsidRPr="00E36AB2">
        <w:rPr>
          <w:rFonts w:ascii="Times New Roman" w:hAnsi="Times New Roman" w:cs="Times New Roman"/>
          <w:lang w:val="es-CO"/>
        </w:rPr>
        <w:t>desarrollo integral desde las dimensiones del desarrollo Personal-social, Corporal, Comunicativa y Artístico-cognitiva. Las actividades propias de la primera infancia permiten a las niñas y niños expresarse e identificar su cultura y la sociedad a la cual pertenecen, y relacionarse entre sí mismos y con los adultos.</w:t>
      </w:r>
      <w:r w:rsidR="00181318" w:rsidRPr="00E36AB2">
        <w:rPr>
          <w:rFonts w:ascii="Times New Roman" w:hAnsi="Times New Roman" w:cs="Times New Roman"/>
          <w:lang w:val="es-CO"/>
        </w:rPr>
        <w:t xml:space="preserve"> </w:t>
      </w:r>
    </w:p>
    <w:p w:rsidR="00181318" w:rsidRPr="00F1703A" w:rsidRDefault="00181318" w:rsidP="00181318">
      <w:pPr>
        <w:jc w:val="both"/>
        <w:rPr>
          <w:rFonts w:ascii="Times New Roman" w:hAnsi="Times New Roman" w:cs="Times New Roman"/>
          <w:lang w:val="es-CO"/>
        </w:rPr>
      </w:pP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t>El trabajo alrededor de los pilares es un trabajo conjunto entre las maestras y maestros y con las familias que se concreta a través de las estrategias pedagógicas como talleres, proyectos de aula,  rincones, la hora del cuento, en las cuales se desarrolla la creatividad, la imaginación,  la expresión y  la exploración de diferentes posibil</w:t>
      </w:r>
      <w:r w:rsidR="00FD3462">
        <w:rPr>
          <w:rFonts w:ascii="Times New Roman" w:hAnsi="Times New Roman" w:cs="Times New Roman"/>
          <w:lang w:val="es-CO"/>
        </w:rPr>
        <w:t xml:space="preserve">idades con su cuerpo. Asimismo </w:t>
      </w:r>
      <w:r w:rsidRPr="00F1703A">
        <w:rPr>
          <w:rFonts w:ascii="Times New Roman" w:hAnsi="Times New Roman" w:cs="Times New Roman"/>
          <w:lang w:val="es-CO"/>
        </w:rPr>
        <w:t>la posibilidad de comunicarse, de preguntarse, de resolver problemas de construir estrategias, de asumir desafíos y retos.</w:t>
      </w:r>
      <w:r w:rsidRPr="00F1703A">
        <w:rPr>
          <w:rFonts w:ascii="Times New Roman" w:hAnsi="Times New Roman" w:cs="Times New Roman"/>
          <w:lang w:val="es-ES"/>
        </w:rPr>
        <w:t xml:space="preserve"> </w:t>
      </w:r>
    </w:p>
    <w:p w:rsidR="00181318" w:rsidRPr="00F1703A" w:rsidRDefault="00181318" w:rsidP="00181318">
      <w:pPr>
        <w:jc w:val="both"/>
        <w:rPr>
          <w:rFonts w:ascii="Times New Roman" w:hAnsi="Times New Roman" w:cs="Times New Roman"/>
          <w:lang w:val="es-CO"/>
        </w:rPr>
      </w:pP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t>La propuesta en el ciclo inicial, para la ampliación de cuarenta horas, está fundamentada en el arte y el trabajo alrededor de lo corporal, como escenarios de posibilidad para el reconocimiento de sí mismos y el encuentro con los otros y su entorno.</w:t>
      </w:r>
      <w:r w:rsidRPr="00F1703A">
        <w:rPr>
          <w:rFonts w:ascii="Times New Roman" w:hAnsi="Times New Roman" w:cs="Times New Roman"/>
          <w:lang w:val="es-ES"/>
        </w:rPr>
        <w:t xml:space="preserve"> </w:t>
      </w:r>
    </w:p>
    <w:p w:rsidR="00181318" w:rsidRPr="00F1703A" w:rsidRDefault="00181318" w:rsidP="00181318">
      <w:pPr>
        <w:jc w:val="both"/>
        <w:rPr>
          <w:rFonts w:ascii="Times New Roman" w:hAnsi="Times New Roman" w:cs="Times New Roman"/>
          <w:lang w:val="es-CO"/>
        </w:rPr>
      </w:pP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t xml:space="preserve">Los compromisos para este cuatrienio son: </w:t>
      </w: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t> </w:t>
      </w:r>
      <w:r w:rsidRPr="00F1703A">
        <w:rPr>
          <w:rFonts w:ascii="Times New Roman" w:hAnsi="Times New Roman" w:cs="Times New Roman"/>
          <w:lang w:val="es-ES"/>
        </w:rPr>
        <w:t xml:space="preserve"> </w:t>
      </w: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t>Los colegios ampliarán oferta creando 60.000 nuevos cupos para niños y niñas de 3 y 4 años, para lo cual se adecuarán aulas en los colegios, se construirán jardines infantiles, se comprarán  y viabilizarán predios para nuevas obras y  se atenderán 17.750 en modalidad conjunta SDIS y SED</w:t>
      </w:r>
      <w:r w:rsidRPr="00F1703A">
        <w:rPr>
          <w:rFonts w:ascii="Times New Roman" w:hAnsi="Times New Roman" w:cs="Times New Roman"/>
          <w:lang w:val="es-ES"/>
        </w:rPr>
        <w:t xml:space="preserve"> </w:t>
      </w: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t> </w:t>
      </w:r>
      <w:r w:rsidRPr="00F1703A">
        <w:rPr>
          <w:rFonts w:ascii="Times New Roman" w:hAnsi="Times New Roman" w:cs="Times New Roman"/>
          <w:lang w:val="es-ES"/>
        </w:rPr>
        <w:t xml:space="preserve"> </w:t>
      </w: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t>Se pretende lograr la atención integral de los niños y las niñas de primera infancia a partir de seis componentes: Pedagogía, jardín y entorno, infraestructura, dotación, talento humano, alimentación y transporte.</w:t>
      </w:r>
      <w:r w:rsidRPr="00F1703A">
        <w:rPr>
          <w:rFonts w:ascii="Times New Roman" w:hAnsi="Times New Roman" w:cs="Times New Roman"/>
          <w:lang w:val="es-ES"/>
        </w:rPr>
        <w:t xml:space="preserve"> </w:t>
      </w: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t> </w:t>
      </w:r>
      <w:r w:rsidRPr="00F1703A">
        <w:rPr>
          <w:rFonts w:ascii="Times New Roman" w:hAnsi="Times New Roman" w:cs="Times New Roman"/>
          <w:lang w:val="es-ES"/>
        </w:rPr>
        <w:t xml:space="preserve"> </w:t>
      </w:r>
    </w:p>
    <w:p w:rsidR="00181318" w:rsidRPr="00181318" w:rsidRDefault="00263032" w:rsidP="00181318">
      <w:pPr>
        <w:pStyle w:val="Ttulo3"/>
        <w:rPr>
          <w:rFonts w:ascii="Times New Roman" w:hAnsi="Times New Roman"/>
          <w:i/>
        </w:rPr>
      </w:pPr>
      <w:bookmarkStart w:id="31" w:name="_Toc362358051"/>
      <w:r>
        <w:rPr>
          <w:rFonts w:ascii="Times New Roman" w:hAnsi="Times New Roman"/>
          <w:i/>
        </w:rPr>
        <w:t>3.3.3</w:t>
      </w:r>
      <w:r w:rsidR="00181318">
        <w:rPr>
          <w:rFonts w:ascii="Times New Roman" w:hAnsi="Times New Roman"/>
          <w:i/>
        </w:rPr>
        <w:t xml:space="preserve"> </w:t>
      </w:r>
      <w:r>
        <w:rPr>
          <w:rFonts w:ascii="Times New Roman" w:hAnsi="Times New Roman"/>
          <w:i/>
        </w:rPr>
        <w:t xml:space="preserve">Educación </w:t>
      </w:r>
      <w:r w:rsidR="00181318" w:rsidRPr="00181318">
        <w:rPr>
          <w:rFonts w:ascii="Times New Roman" w:hAnsi="Times New Roman"/>
          <w:i/>
        </w:rPr>
        <w:t>Media fortalecida y mayor acceso a la educación superior</w:t>
      </w:r>
      <w:bookmarkEnd w:id="31"/>
    </w:p>
    <w:p w:rsidR="00181318" w:rsidRPr="00263032" w:rsidRDefault="00181318" w:rsidP="00181318">
      <w:pPr>
        <w:jc w:val="both"/>
        <w:rPr>
          <w:rFonts w:ascii="Times New Roman" w:hAnsi="Times New Roman" w:cs="Times New Roman"/>
          <w:b/>
        </w:rPr>
      </w:pP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lastRenderedPageBreak/>
        <w:t xml:space="preserve">La lucha contra la inequidad implica la contribución de la educación media a la disminución de las desigualdades sociales y espaciales, mediante estrategias que faciliten el acceso de los jóvenes a procesos pedagógicos atractivos y efectivos que otorguen opciones de exploración vocacional, fortalezcan las posibilidades de construir sus proyectos de vida y redunden en una ampliación significativa del acceso a la educación superior como estadio fundamental del robustecimiento de su condición de sujeto. </w:t>
      </w:r>
    </w:p>
    <w:p w:rsidR="00181318" w:rsidRPr="00F1703A" w:rsidRDefault="00181318" w:rsidP="00181318">
      <w:pPr>
        <w:jc w:val="both"/>
        <w:rPr>
          <w:rFonts w:ascii="Times New Roman" w:hAnsi="Times New Roman" w:cs="Times New Roman"/>
          <w:lang w:val="es-CO"/>
        </w:rPr>
      </w:pPr>
    </w:p>
    <w:p w:rsidR="00181318" w:rsidRPr="004C025D" w:rsidRDefault="00181318" w:rsidP="004C025D">
      <w:pPr>
        <w:jc w:val="both"/>
        <w:rPr>
          <w:rFonts w:ascii="Times New Roman" w:hAnsi="Times New Roman" w:cs="Times New Roman"/>
          <w:lang w:val="es-CO"/>
        </w:rPr>
      </w:pPr>
      <w:r w:rsidRPr="00F1703A">
        <w:rPr>
          <w:rFonts w:ascii="Times New Roman" w:hAnsi="Times New Roman" w:cs="Times New Roman"/>
          <w:lang w:val="es-CO"/>
        </w:rPr>
        <w:t xml:space="preserve">La Bogotá Humana busca garantizar una oferta diversa en seis áreas del conocimiento donde los estudiantes tengan la posibilidad de elegir entre dos o más opciones de formación y cuyos saberes sean reconocidos y/o homologados en la Educación Superior. Para ello transformará </w:t>
      </w:r>
      <w:r w:rsidRPr="00F1703A">
        <w:rPr>
          <w:rFonts w:ascii="Times New Roman" w:hAnsi="Times New Roman" w:cs="Times New Roman"/>
          <w:lang w:val="es-ES"/>
        </w:rPr>
        <w:t>curricular, institucional y administrativamente la Educación Media.</w:t>
      </w:r>
      <w:r w:rsidR="004C025D">
        <w:rPr>
          <w:rFonts w:ascii="Times New Roman" w:hAnsi="Times New Roman" w:cs="Times New Roman"/>
          <w:lang w:val="es-CO"/>
        </w:rPr>
        <w:t xml:space="preserve"> </w:t>
      </w:r>
      <w:r w:rsidRPr="00F1703A">
        <w:rPr>
          <w:rFonts w:ascii="Times New Roman" w:hAnsi="Times New Roman" w:cs="Times New Roman"/>
          <w:lang w:val="es-CO"/>
        </w:rPr>
        <w:t>De igual forma, promoverá el grado 12</w:t>
      </w:r>
      <w:r w:rsidR="004C025D">
        <w:rPr>
          <w:rFonts w:ascii="Times New Roman" w:hAnsi="Times New Roman" w:cs="Times New Roman"/>
          <w:lang w:val="es-CO"/>
        </w:rPr>
        <w:t xml:space="preserve"> opcional</w:t>
      </w:r>
      <w:r w:rsidRPr="00F1703A">
        <w:rPr>
          <w:rFonts w:ascii="Times New Roman" w:hAnsi="Times New Roman" w:cs="Times New Roman"/>
          <w:lang w:val="es-CO"/>
        </w:rPr>
        <w:t xml:space="preserve"> como una </w:t>
      </w:r>
      <w:r w:rsidRPr="00F1703A">
        <w:rPr>
          <w:rFonts w:ascii="Times New Roman" w:hAnsi="Times New Roman" w:cs="Times New Roman"/>
          <w:lang w:val="es-ES"/>
        </w:rPr>
        <w:t>alternativa de formación profesional y laboral cualificada o la posibilidad de continuar estudios superiores iniciados desde el colegio.</w:t>
      </w:r>
      <w:r w:rsidR="004C025D">
        <w:rPr>
          <w:rFonts w:ascii="Times New Roman" w:hAnsi="Times New Roman" w:cs="Times New Roman"/>
          <w:lang w:val="es-CO"/>
        </w:rPr>
        <w:t xml:space="preserve"> </w:t>
      </w:r>
      <w:r w:rsidRPr="00F1703A">
        <w:rPr>
          <w:rFonts w:ascii="Times New Roman" w:hAnsi="Times New Roman" w:cs="Times New Roman"/>
          <w:lang w:val="es-ES"/>
        </w:rPr>
        <w:t>Los cursos tomados durante los grados 10, 11 y 12, serán reconocidos por aquellas Instituciones de Educación Superior (IES) y el SENA, que firmen el Pacto por la Educación Media y Superior de Bogotá.</w:t>
      </w:r>
    </w:p>
    <w:p w:rsidR="00181318" w:rsidRPr="00F1703A" w:rsidRDefault="00181318" w:rsidP="0018131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p>
    <w:p w:rsidR="00181318" w:rsidRPr="00F1703A" w:rsidRDefault="00181318" w:rsidP="0018131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Simultáneamente supone alternativas de financiamiento de Educación Superior a los egresados del sistema educativo oficial, apoyando la generación de nuevos cupos en Educación Superior pública de alta calidad.</w:t>
      </w:r>
    </w:p>
    <w:p w:rsidR="004C025D" w:rsidRPr="002056D3" w:rsidRDefault="004C025D" w:rsidP="004C025D">
      <w:pPr>
        <w:jc w:val="both"/>
        <w:rPr>
          <w:rFonts w:ascii="Times New Roman" w:hAnsi="Times New Roman" w:cs="Times New Roman"/>
        </w:rPr>
      </w:pPr>
    </w:p>
    <w:p w:rsidR="004C025D" w:rsidRDefault="004C025D" w:rsidP="004C025D">
      <w:pPr>
        <w:jc w:val="both"/>
        <w:rPr>
          <w:rFonts w:ascii="Times New Roman" w:hAnsi="Times New Roman" w:cs="Times New Roman"/>
        </w:rPr>
      </w:pPr>
      <w:r w:rsidRPr="002056D3">
        <w:rPr>
          <w:rFonts w:ascii="Times New Roman" w:hAnsi="Times New Roman" w:cs="Times New Roman"/>
        </w:rPr>
        <w:t xml:space="preserve">La transformación de la educación media persigue, en su concepción, organización y operación, la superación de las limitaciones, debilidades y rigideces de la educación media actual y sus problemas de calidad y pertinencia. Enfatiza la superación de las barreras de acceso de los jóvenes de estratos sociales vulnerables a la educación superior y la promoción de su permanencia en este nivel de formación hasta su titulación. </w:t>
      </w:r>
    </w:p>
    <w:p w:rsidR="004C025D" w:rsidRDefault="004C025D" w:rsidP="004C025D">
      <w:pPr>
        <w:jc w:val="both"/>
        <w:rPr>
          <w:rFonts w:ascii="Times New Roman" w:hAnsi="Times New Roman" w:cs="Times New Roman"/>
        </w:rPr>
      </w:pPr>
    </w:p>
    <w:p w:rsidR="004C025D" w:rsidRDefault="004C025D" w:rsidP="004C025D">
      <w:pPr>
        <w:jc w:val="both"/>
        <w:rPr>
          <w:rFonts w:ascii="Times New Roman" w:hAnsi="Times New Roman" w:cs="Times New Roman"/>
        </w:rPr>
      </w:pPr>
      <w:r>
        <w:rPr>
          <w:rFonts w:ascii="Times New Roman" w:hAnsi="Times New Roman" w:cs="Times New Roman"/>
        </w:rPr>
        <w:t>El fortalecimiento de la educación media y del acceso a la educación superior suponen el desarrollo de las siguientes estrategias:</w:t>
      </w:r>
    </w:p>
    <w:p w:rsidR="004C025D" w:rsidRDefault="004C025D" w:rsidP="004C025D">
      <w:pPr>
        <w:pStyle w:val="Prrafodelista"/>
        <w:ind w:left="0"/>
        <w:jc w:val="both"/>
        <w:rPr>
          <w:rFonts w:eastAsiaTheme="minorHAnsi"/>
          <w:lang w:val="es-CO" w:eastAsia="en-US"/>
        </w:rPr>
      </w:pPr>
    </w:p>
    <w:p w:rsidR="004C025D" w:rsidRPr="000C3F6A" w:rsidRDefault="004C025D" w:rsidP="004C025D">
      <w:pPr>
        <w:pStyle w:val="Prrafodelista"/>
        <w:numPr>
          <w:ilvl w:val="0"/>
          <w:numId w:val="10"/>
        </w:numPr>
        <w:jc w:val="both"/>
        <w:rPr>
          <w:rFonts w:cstheme="minorHAnsi"/>
        </w:rPr>
      </w:pPr>
      <w:r>
        <w:rPr>
          <w:rFonts w:cstheme="minorHAnsi"/>
        </w:rPr>
        <w:t xml:space="preserve">la firma de </w:t>
      </w:r>
      <w:r w:rsidRPr="000C3F6A">
        <w:rPr>
          <w:rFonts w:cstheme="minorHAnsi"/>
        </w:rPr>
        <w:t>un pacto distrital por la educación</w:t>
      </w:r>
      <w:r>
        <w:rPr>
          <w:rFonts w:cstheme="minorHAnsi"/>
        </w:rPr>
        <w:t xml:space="preserve"> media y </w:t>
      </w:r>
      <w:r w:rsidRPr="000C3F6A">
        <w:rPr>
          <w:rFonts w:cstheme="minorHAnsi"/>
        </w:rPr>
        <w:t xml:space="preserve"> superior,</w:t>
      </w:r>
    </w:p>
    <w:p w:rsidR="004C025D" w:rsidRPr="000C3F6A" w:rsidRDefault="004C025D" w:rsidP="004C025D">
      <w:pPr>
        <w:pStyle w:val="Prrafodelista"/>
        <w:numPr>
          <w:ilvl w:val="0"/>
          <w:numId w:val="10"/>
        </w:numPr>
        <w:jc w:val="both"/>
        <w:rPr>
          <w:rFonts w:cstheme="minorHAnsi"/>
        </w:rPr>
      </w:pPr>
      <w:r w:rsidRPr="000C3F6A">
        <w:rPr>
          <w:rFonts w:cstheme="minorHAnsi"/>
        </w:rPr>
        <w:t xml:space="preserve">la creación y puesta en marcha de Consejos Distritales de Asesoría Académica por </w:t>
      </w:r>
      <w:r>
        <w:rPr>
          <w:rFonts w:cstheme="minorHAnsi"/>
        </w:rPr>
        <w:t>campo de profundización vocacional  y progresiva e</w:t>
      </w:r>
      <w:r w:rsidRPr="000C3F6A">
        <w:rPr>
          <w:rFonts w:cstheme="minorHAnsi"/>
        </w:rPr>
        <w:t>specialidad</w:t>
      </w:r>
      <w:r>
        <w:rPr>
          <w:rFonts w:cstheme="minorHAnsi"/>
        </w:rPr>
        <w:t>,</w:t>
      </w:r>
    </w:p>
    <w:p w:rsidR="004C025D" w:rsidRDefault="004C025D" w:rsidP="004C025D">
      <w:pPr>
        <w:pStyle w:val="Prrafodelista"/>
        <w:numPr>
          <w:ilvl w:val="0"/>
          <w:numId w:val="10"/>
        </w:numPr>
        <w:jc w:val="both"/>
        <w:rPr>
          <w:rFonts w:cstheme="minorHAnsi"/>
        </w:rPr>
      </w:pPr>
      <w:r w:rsidRPr="000C3F6A">
        <w:rPr>
          <w:rFonts w:cstheme="minorHAnsi"/>
        </w:rPr>
        <w:t xml:space="preserve">la creación y puesta en marcha de procesos de acreditación para la educación media. </w:t>
      </w:r>
    </w:p>
    <w:p w:rsidR="004C025D" w:rsidRPr="000C3F6A" w:rsidRDefault="004C025D" w:rsidP="004C025D">
      <w:pPr>
        <w:pStyle w:val="Prrafodelista"/>
        <w:numPr>
          <w:ilvl w:val="0"/>
          <w:numId w:val="10"/>
        </w:numPr>
        <w:jc w:val="both"/>
        <w:rPr>
          <w:rFonts w:cstheme="minorHAnsi"/>
        </w:rPr>
      </w:pPr>
      <w:r w:rsidRPr="000C3F6A">
        <w:rPr>
          <w:rFonts w:cstheme="minorHAnsi"/>
        </w:rPr>
        <w:t>una oferta amplia de cursos certificados,</w:t>
      </w:r>
    </w:p>
    <w:p w:rsidR="004C025D" w:rsidRPr="000C3F6A" w:rsidRDefault="004C025D" w:rsidP="004C025D">
      <w:pPr>
        <w:pStyle w:val="Prrafodelista"/>
        <w:numPr>
          <w:ilvl w:val="0"/>
          <w:numId w:val="10"/>
        </w:numPr>
        <w:jc w:val="both"/>
        <w:rPr>
          <w:rFonts w:cstheme="minorHAnsi"/>
        </w:rPr>
      </w:pPr>
      <w:r w:rsidRPr="000C3F6A">
        <w:rPr>
          <w:rFonts w:cstheme="minorHAnsi"/>
        </w:rPr>
        <w:t>construcción de nuevo</w:t>
      </w:r>
      <w:r>
        <w:rPr>
          <w:rFonts w:cstheme="minorHAnsi"/>
        </w:rPr>
        <w:t>s</w:t>
      </w:r>
      <w:r w:rsidRPr="000C3F6A">
        <w:rPr>
          <w:rFonts w:cstheme="minorHAnsi"/>
        </w:rPr>
        <w:t xml:space="preserve"> currículo</w:t>
      </w:r>
      <w:r>
        <w:rPr>
          <w:rFonts w:cstheme="minorHAnsi"/>
        </w:rPr>
        <w:t>s</w:t>
      </w:r>
      <w:r w:rsidRPr="000C3F6A">
        <w:rPr>
          <w:rFonts w:cstheme="minorHAnsi"/>
        </w:rPr>
        <w:t>,</w:t>
      </w:r>
    </w:p>
    <w:p w:rsidR="004C025D" w:rsidRPr="000C3F6A" w:rsidRDefault="004C025D" w:rsidP="004C025D">
      <w:pPr>
        <w:pStyle w:val="Prrafodelista"/>
        <w:numPr>
          <w:ilvl w:val="0"/>
          <w:numId w:val="10"/>
        </w:numPr>
        <w:jc w:val="both"/>
        <w:rPr>
          <w:rFonts w:cstheme="minorHAnsi"/>
        </w:rPr>
      </w:pPr>
      <w:r w:rsidRPr="000C3F6A">
        <w:rPr>
          <w:rFonts w:cstheme="minorHAnsi"/>
        </w:rPr>
        <w:t>la definición de nuevos estándares de calidad para la vinculación de  los profesores,</w:t>
      </w:r>
    </w:p>
    <w:p w:rsidR="004C025D" w:rsidRDefault="004C025D" w:rsidP="004C025D">
      <w:pPr>
        <w:pStyle w:val="Prrafodelista"/>
        <w:numPr>
          <w:ilvl w:val="0"/>
          <w:numId w:val="10"/>
        </w:numPr>
        <w:jc w:val="both"/>
        <w:rPr>
          <w:rFonts w:cstheme="minorHAnsi"/>
        </w:rPr>
      </w:pPr>
      <w:r w:rsidRPr="000C3F6A">
        <w:rPr>
          <w:rFonts w:cstheme="minorHAnsi"/>
        </w:rPr>
        <w:t>el diseño y puesta en marcha de nuevos programas de actualización y cualificación docente,</w:t>
      </w:r>
    </w:p>
    <w:p w:rsidR="004C025D" w:rsidRDefault="004C025D" w:rsidP="004C025D">
      <w:pPr>
        <w:pStyle w:val="Prrafodelista"/>
        <w:numPr>
          <w:ilvl w:val="0"/>
          <w:numId w:val="10"/>
        </w:numPr>
        <w:jc w:val="both"/>
        <w:rPr>
          <w:rFonts w:cstheme="minorHAnsi"/>
        </w:rPr>
      </w:pPr>
      <w:r>
        <w:rPr>
          <w:rFonts w:cstheme="minorHAnsi"/>
        </w:rPr>
        <w:t xml:space="preserve">el </w:t>
      </w:r>
      <w:r w:rsidRPr="000C3F6A">
        <w:rPr>
          <w:rFonts w:cstheme="minorHAnsi"/>
        </w:rPr>
        <w:t>impulso de nuevas aproximaciones y prácticas  pedagógicas</w:t>
      </w:r>
      <w:r>
        <w:rPr>
          <w:rFonts w:cstheme="minorHAnsi"/>
        </w:rPr>
        <w:t>,</w:t>
      </w:r>
      <w:r w:rsidRPr="000C3F6A">
        <w:rPr>
          <w:rFonts w:cstheme="minorHAnsi"/>
        </w:rPr>
        <w:t xml:space="preserve"> </w:t>
      </w:r>
    </w:p>
    <w:p w:rsidR="004C025D" w:rsidRDefault="004C025D" w:rsidP="004C025D">
      <w:pPr>
        <w:pStyle w:val="Prrafodelista"/>
        <w:numPr>
          <w:ilvl w:val="0"/>
          <w:numId w:val="10"/>
        </w:numPr>
        <w:jc w:val="both"/>
        <w:rPr>
          <w:rFonts w:cstheme="minorHAnsi"/>
        </w:rPr>
      </w:pPr>
      <w:r w:rsidRPr="000C3F6A">
        <w:rPr>
          <w:rFonts w:cstheme="minorHAnsi"/>
        </w:rPr>
        <w:t>la definición de nuevos estándares para los espacios y ambientes de aprendizaje</w:t>
      </w:r>
      <w:r>
        <w:rPr>
          <w:rFonts w:cstheme="minorHAnsi"/>
        </w:rPr>
        <w:t>.</w:t>
      </w:r>
      <w:r w:rsidRPr="000C3F6A">
        <w:rPr>
          <w:rFonts w:cstheme="minorHAnsi"/>
        </w:rPr>
        <w:t xml:space="preserve"> </w:t>
      </w:r>
    </w:p>
    <w:p w:rsidR="004C025D" w:rsidRPr="004C025D" w:rsidRDefault="004C025D" w:rsidP="0018131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rPr>
      </w:pPr>
    </w:p>
    <w:p w:rsidR="00181318" w:rsidRPr="00F1703A" w:rsidRDefault="00181318" w:rsidP="0018131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u w:val="single"/>
          <w:lang w:val="es-ES"/>
        </w:rPr>
      </w:pPr>
      <w:r w:rsidRPr="00F1703A">
        <w:rPr>
          <w:rFonts w:ascii="Times New Roman" w:hAnsi="Times New Roman" w:cs="Times New Roman"/>
          <w:u w:val="single"/>
          <w:lang w:val="es-ES"/>
        </w:rPr>
        <w:t>Metas</w:t>
      </w:r>
    </w:p>
    <w:p w:rsidR="00181318" w:rsidRPr="00F1703A" w:rsidRDefault="00181318" w:rsidP="0018131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p>
    <w:p w:rsidR="00181318" w:rsidRPr="00F1703A" w:rsidRDefault="00181318" w:rsidP="0018131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- 80.000 estudiantes con Educación Media Fortalecida, diversa y homologable.</w:t>
      </w:r>
    </w:p>
    <w:p w:rsidR="00181318" w:rsidRPr="00F1703A" w:rsidRDefault="00181318" w:rsidP="0018131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lastRenderedPageBreak/>
        <w:t>- 25.000 jóvenes en Grado 12.</w:t>
      </w:r>
    </w:p>
    <w:p w:rsidR="00181318" w:rsidRPr="00F1703A" w:rsidRDefault="00181318" w:rsidP="0018131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- 30.000 egresados apoyados en la Educación Superior (Acceso y Permanencia).</w:t>
      </w:r>
    </w:p>
    <w:p w:rsidR="00263032" w:rsidRPr="00F1703A" w:rsidRDefault="00263032" w:rsidP="00263032">
      <w:pPr>
        <w:jc w:val="both"/>
        <w:rPr>
          <w:rFonts w:ascii="Times New Roman" w:hAnsi="Times New Roman" w:cs="Times New Roman"/>
          <w:b/>
          <w:bCs/>
          <w:sz w:val="22"/>
          <w:szCs w:val="22"/>
          <w:lang w:val="es-CO"/>
        </w:rPr>
      </w:pPr>
    </w:p>
    <w:p w:rsidR="00263032" w:rsidRPr="00181318" w:rsidRDefault="00263032" w:rsidP="00263032">
      <w:pPr>
        <w:pStyle w:val="Ttulo3"/>
        <w:rPr>
          <w:rFonts w:ascii="Times New Roman" w:hAnsi="Times New Roman"/>
          <w:i/>
        </w:rPr>
      </w:pPr>
      <w:bookmarkStart w:id="32" w:name="_Toc362358052"/>
      <w:r>
        <w:rPr>
          <w:rFonts w:ascii="Times New Roman" w:hAnsi="Times New Roman"/>
          <w:i/>
        </w:rPr>
        <w:t xml:space="preserve">3.3.4 </w:t>
      </w:r>
      <w:r w:rsidRPr="00181318">
        <w:rPr>
          <w:rFonts w:ascii="Times New Roman" w:hAnsi="Times New Roman"/>
          <w:i/>
        </w:rPr>
        <w:t>Ciudadanía y convivencia</w:t>
      </w:r>
      <w:bookmarkEnd w:id="32"/>
    </w:p>
    <w:p w:rsidR="00263032" w:rsidRPr="008F2858" w:rsidRDefault="00263032" w:rsidP="00263032">
      <w:pPr>
        <w:jc w:val="both"/>
        <w:rPr>
          <w:rFonts w:ascii="Times New Roman" w:hAnsi="Times New Roman" w:cs="Times New Roman"/>
        </w:rPr>
      </w:pPr>
    </w:p>
    <w:p w:rsidR="00263032" w:rsidRDefault="00263032" w:rsidP="00263032">
      <w:pPr>
        <w:jc w:val="both"/>
        <w:rPr>
          <w:rFonts w:ascii="Times New Roman" w:hAnsi="Times New Roman" w:cs="Times New Roman"/>
        </w:rPr>
      </w:pPr>
      <w:r w:rsidRPr="008F2858">
        <w:rPr>
          <w:rFonts w:ascii="Times New Roman" w:hAnsi="Times New Roman" w:cs="Times New Roman"/>
        </w:rPr>
        <w:t xml:space="preserve">La Bogotá Humana </w:t>
      </w:r>
      <w:r>
        <w:rPr>
          <w:rFonts w:ascii="Times New Roman" w:hAnsi="Times New Roman" w:cs="Times New Roman"/>
        </w:rPr>
        <w:t xml:space="preserve">entiende el </w:t>
      </w:r>
      <w:r w:rsidR="00037171" w:rsidRPr="002B6C06">
        <w:rPr>
          <w:rFonts w:ascii="Times New Roman" w:hAnsi="Times New Roman" w:cs="Times New Roman"/>
        </w:rPr>
        <w:t>desarrollo de capacidades ciudadanas</w:t>
      </w:r>
      <w:r w:rsidR="00037171">
        <w:rPr>
          <w:rFonts w:ascii="Times New Roman" w:hAnsi="Times New Roman" w:cs="Times New Roman"/>
        </w:rPr>
        <w:t xml:space="preserve"> </w:t>
      </w:r>
      <w:r w:rsidR="00F91268">
        <w:rPr>
          <w:rFonts w:ascii="Times New Roman" w:hAnsi="Times New Roman" w:cs="Times New Roman"/>
        </w:rPr>
        <w:t xml:space="preserve">como parte del </w:t>
      </w:r>
      <w:r>
        <w:rPr>
          <w:rFonts w:ascii="Times New Roman" w:hAnsi="Times New Roman" w:cs="Times New Roman"/>
        </w:rPr>
        <w:t>aprendizaje</w:t>
      </w:r>
      <w:r w:rsidRPr="002B6C06">
        <w:rPr>
          <w:rFonts w:ascii="Times New Roman" w:hAnsi="Times New Roman" w:cs="Times New Roman"/>
        </w:rPr>
        <w:t xml:space="preserve"> integral para el buen vivir</w:t>
      </w:r>
      <w:r>
        <w:rPr>
          <w:rFonts w:ascii="Times New Roman" w:hAnsi="Times New Roman" w:cs="Times New Roman"/>
        </w:rPr>
        <w:t xml:space="preserve">. El Proyecto de educación para la ciudadanía y la convivencia constituye un esfuerzo de transversalización y articulación institucional orientado a lograr este objetivo de equiparar la </w:t>
      </w:r>
      <w:r w:rsidR="00C754A1">
        <w:rPr>
          <w:rFonts w:ascii="Times New Roman" w:hAnsi="Times New Roman" w:cs="Times New Roman"/>
        </w:rPr>
        <w:t xml:space="preserve">importancia de la </w:t>
      </w:r>
      <w:r>
        <w:rPr>
          <w:rFonts w:ascii="Times New Roman" w:hAnsi="Times New Roman" w:cs="Times New Roman"/>
        </w:rPr>
        <w:t xml:space="preserve">formación en aprendizajes ciudadanos a la formación académica. </w:t>
      </w:r>
    </w:p>
    <w:p w:rsidR="00263032" w:rsidRDefault="00263032" w:rsidP="00263032">
      <w:pPr>
        <w:jc w:val="both"/>
        <w:rPr>
          <w:rFonts w:ascii="Times New Roman" w:hAnsi="Times New Roman" w:cs="Times New Roman"/>
        </w:rPr>
      </w:pPr>
    </w:p>
    <w:p w:rsidR="00263032" w:rsidRPr="008F2858" w:rsidRDefault="00263032" w:rsidP="00263032">
      <w:pPr>
        <w:jc w:val="both"/>
        <w:rPr>
          <w:rFonts w:ascii="Times New Roman" w:hAnsi="Times New Roman" w:cs="Times New Roman"/>
        </w:rPr>
      </w:pPr>
      <w:r>
        <w:rPr>
          <w:rFonts w:ascii="Times New Roman" w:hAnsi="Times New Roman" w:cs="Times New Roman"/>
        </w:rPr>
        <w:t xml:space="preserve">En este sentido, se </w:t>
      </w:r>
      <w:r w:rsidRPr="008F2858">
        <w:rPr>
          <w:rFonts w:ascii="Times New Roman" w:hAnsi="Times New Roman" w:cs="Times New Roman"/>
        </w:rPr>
        <w:t xml:space="preserve">reconoce la ciudadanía como algo dinámico y contextualizado social, espacial y cronológicamente y entiende que el ciudadano </w:t>
      </w:r>
      <w:r>
        <w:rPr>
          <w:rFonts w:ascii="Times New Roman" w:hAnsi="Times New Roman" w:cs="Times New Roman"/>
        </w:rPr>
        <w:t>se define</w:t>
      </w:r>
      <w:r w:rsidRPr="008F2858">
        <w:rPr>
          <w:rFonts w:ascii="Times New Roman" w:hAnsi="Times New Roman" w:cs="Times New Roman"/>
        </w:rPr>
        <w:t xml:space="preserve"> por su papel activo en la sociedad, por su capacidad de participar de sus transformaciones y de incidir en el destino colectivo. Ciudadanía en relación con el </w:t>
      </w:r>
      <w:r>
        <w:rPr>
          <w:rFonts w:ascii="Times New Roman" w:hAnsi="Times New Roman" w:cs="Times New Roman"/>
        </w:rPr>
        <w:t>E</w:t>
      </w:r>
      <w:r w:rsidRPr="008F2858">
        <w:rPr>
          <w:rFonts w:ascii="Times New Roman" w:hAnsi="Times New Roman" w:cs="Times New Roman"/>
        </w:rPr>
        <w:t>stado y los derechos que este debe garantizar, pero también una ciudadanía en relación con los otros, con los que convivimos diariamente y con los que establecemos pautas de convivencia, actuamos colectivamente, transformamos y definimos nuestra realidad. Ambos ám</w:t>
      </w:r>
      <w:r>
        <w:rPr>
          <w:rFonts w:ascii="Times New Roman" w:hAnsi="Times New Roman" w:cs="Times New Roman"/>
        </w:rPr>
        <w:t>bitos de la ciudadanía, con el E</w:t>
      </w:r>
      <w:r w:rsidRPr="008F2858">
        <w:rPr>
          <w:rFonts w:ascii="Times New Roman" w:hAnsi="Times New Roman" w:cs="Times New Roman"/>
        </w:rPr>
        <w:t xml:space="preserve">stado </w:t>
      </w:r>
      <w:r>
        <w:rPr>
          <w:rFonts w:ascii="Times New Roman" w:hAnsi="Times New Roman" w:cs="Times New Roman"/>
        </w:rPr>
        <w:t>y</w:t>
      </w:r>
      <w:r w:rsidRPr="008F2858">
        <w:rPr>
          <w:rFonts w:ascii="Times New Roman" w:hAnsi="Times New Roman" w:cs="Times New Roman"/>
        </w:rPr>
        <w:t xml:space="preserve"> con los “otros”, son políticos, en tanto su evolución se determina por las relaciones de poder entre sus miembros. </w:t>
      </w:r>
    </w:p>
    <w:p w:rsidR="00263032" w:rsidRPr="008F2858" w:rsidRDefault="00263032" w:rsidP="00263032">
      <w:pPr>
        <w:jc w:val="both"/>
        <w:rPr>
          <w:rFonts w:ascii="Times New Roman" w:hAnsi="Times New Roman" w:cs="Times New Roman"/>
        </w:rPr>
      </w:pPr>
    </w:p>
    <w:p w:rsidR="00263032" w:rsidRPr="008F2858" w:rsidRDefault="00263032" w:rsidP="00263032">
      <w:pPr>
        <w:jc w:val="both"/>
        <w:rPr>
          <w:rFonts w:ascii="Times New Roman" w:hAnsi="Times New Roman" w:cs="Times New Roman"/>
        </w:rPr>
      </w:pPr>
      <w:r w:rsidRPr="008F2858">
        <w:rPr>
          <w:rFonts w:ascii="Times New Roman" w:hAnsi="Times New Roman" w:cs="Times New Roman"/>
        </w:rPr>
        <w:t xml:space="preserve">La ciudadanía </w:t>
      </w:r>
      <w:r w:rsidRPr="00D35F8E">
        <w:rPr>
          <w:rFonts w:ascii="Times New Roman" w:hAnsi="Times New Roman" w:cs="Times New Roman"/>
        </w:rPr>
        <w:t xml:space="preserve">es comprendida como algo complejo y sistémico, que se ejerce y construye dinámicamente en </w:t>
      </w:r>
      <w:r w:rsidRPr="008F2858">
        <w:rPr>
          <w:rFonts w:ascii="Times New Roman" w:hAnsi="Times New Roman" w:cs="Times New Roman"/>
        </w:rPr>
        <w:t>al menos tres dimensiones interrelacionadas; la dimensión individual - el ser físico, intelectual, espiritual -, la dimensión societal o comunitaria - con los “otros” que interactuamos cotidianamente; la familia, el aula, la escuela, los compañeros del barrio o la vereda - y la dimensión sistémica - los procesos, estructuras y sistemas más o menos tangibles en los que se enmarca nuest</w:t>
      </w:r>
      <w:r>
        <w:rPr>
          <w:rFonts w:ascii="Times New Roman" w:hAnsi="Times New Roman" w:cs="Times New Roman"/>
        </w:rPr>
        <w:t>ra cotidianidad: el E</w:t>
      </w:r>
      <w:r w:rsidRPr="008F2858">
        <w:rPr>
          <w:rFonts w:ascii="Times New Roman" w:hAnsi="Times New Roman" w:cs="Times New Roman"/>
        </w:rPr>
        <w:t>stado, el ambiente, los sistemas económicos y culturales -.</w:t>
      </w:r>
    </w:p>
    <w:p w:rsidR="00263032" w:rsidRPr="008F2858" w:rsidRDefault="00263032" w:rsidP="00263032">
      <w:pPr>
        <w:pStyle w:val="Prrafodelista"/>
        <w:ind w:left="284"/>
        <w:jc w:val="both"/>
      </w:pPr>
    </w:p>
    <w:p w:rsidR="00263032" w:rsidRDefault="00263032" w:rsidP="00263032">
      <w:pPr>
        <w:jc w:val="both"/>
        <w:rPr>
          <w:rFonts w:ascii="Times New Roman" w:hAnsi="Times New Roman" w:cs="Times New Roman"/>
        </w:rPr>
      </w:pPr>
      <w:r w:rsidRPr="00D35F8E">
        <w:rPr>
          <w:rFonts w:ascii="Times New Roman" w:hAnsi="Times New Roman" w:cs="Times New Roman"/>
        </w:rPr>
        <w:t>Teniendo en cuenta el sentido dinámico y cambiante de la ciudadanía, así como su naturaleza amplia que implica las relaciones con el estado y las relaciones entre los individuos, el objetivo educativo de la SED es contribuir a la formación de ciudadanos que dispongan, por un lado, de capacidades para incidir en la construcción de la ciudadanía y, por otro, que adquieran los saberes y valores ciudadanos con los que nuestra sociedad actual está comprometida. La participación activa en la construcción de ciudadanía implica la disposición y ejercicio de poder por parte de los ciudadanos. El desarrollo de capacidades y saberes ciudadanos dentro de la propuesta de la SED tiene el propósito último de formar sujetos críticos, imaginativos y empoderados,</w:t>
      </w:r>
      <w:r>
        <w:rPr>
          <w:rFonts w:ascii="Times New Roman" w:hAnsi="Times New Roman" w:cs="Times New Roman"/>
        </w:rPr>
        <w:t xml:space="preserve"> r</w:t>
      </w:r>
      <w:r w:rsidRPr="00EE4533">
        <w:rPr>
          <w:rFonts w:ascii="Times New Roman" w:hAnsi="Times New Roman" w:cs="Times New Roman"/>
        </w:rPr>
        <w:t>espetuo</w:t>
      </w:r>
      <w:r>
        <w:rPr>
          <w:rFonts w:ascii="Times New Roman" w:hAnsi="Times New Roman" w:cs="Times New Roman"/>
        </w:rPr>
        <w:t>sos de si mismos y de los demás y</w:t>
      </w:r>
      <w:r w:rsidRPr="00EE4533">
        <w:rPr>
          <w:rFonts w:ascii="Times New Roman" w:hAnsi="Times New Roman" w:cs="Times New Roman"/>
        </w:rPr>
        <w:t xml:space="preserve"> de la diferencia</w:t>
      </w:r>
      <w:r>
        <w:rPr>
          <w:rFonts w:ascii="Times New Roman" w:hAnsi="Times New Roman" w:cs="Times New Roman"/>
        </w:rPr>
        <w:t>,</w:t>
      </w:r>
      <w:r w:rsidRPr="00D35F8E">
        <w:rPr>
          <w:rFonts w:ascii="Times New Roman" w:hAnsi="Times New Roman" w:cs="Times New Roman"/>
        </w:rPr>
        <w:t xml:space="preserve"> que sean capaces de definir con responsabilidad y autonomía sus vidas y contribuir desde sus reflexiones, ideas y actos al cambio social.</w:t>
      </w:r>
    </w:p>
    <w:p w:rsidR="00263032" w:rsidRDefault="00263032" w:rsidP="00263032">
      <w:pPr>
        <w:jc w:val="both"/>
        <w:rPr>
          <w:rFonts w:ascii="Times New Roman" w:hAnsi="Times New Roman"/>
          <w:color w:val="000000"/>
        </w:rPr>
      </w:pPr>
    </w:p>
    <w:p w:rsidR="00263032" w:rsidRDefault="00263032" w:rsidP="00263032">
      <w:pPr>
        <w:pStyle w:val="Prrafodelista"/>
        <w:ind w:left="0"/>
        <w:jc w:val="both"/>
        <w:rPr>
          <w:lang w:val="es-MX"/>
        </w:rPr>
      </w:pPr>
      <w:r>
        <w:t xml:space="preserve">La estructura de la propuesta de educación para la ciudadanía y la convivencia de la SED pone en relación las capacidades básicas, los aprendizajes ciudadanos ordenados por áreas temáticas y una </w:t>
      </w:r>
      <w:r w:rsidRPr="00C76DE8">
        <w:t>propuesta pedagógica centrada</w:t>
      </w:r>
      <w:r>
        <w:t xml:space="preserve"> en la formación ciudadana. En este sentido las capacidades básicas –identidad; dignidad humana y derechos; reconocimiento de los </w:t>
      </w:r>
      <w:r>
        <w:lastRenderedPageBreak/>
        <w:t xml:space="preserve">derechos de los otros; manejo emocional; sentido de la vida, el cuerpo y la naturaleza; y convivencia y participación- se constituyen en el núcleo de la propuesta desde la que emergen las áreas temáticas –derechos humanos y paz, diversidad y género, ambiente, participación social y política, y autocuidado-. Estos temas se desarrollan mediante procesos pedagógicos donde el conocimiento se produce a través de la reflexión sobre experiencias significativas de la vida cotidiana y de su contexto, para transformar sus realidades. </w:t>
      </w:r>
    </w:p>
    <w:p w:rsidR="00263032" w:rsidRPr="00D35F8E" w:rsidRDefault="00263032" w:rsidP="00263032">
      <w:pPr>
        <w:jc w:val="both"/>
        <w:rPr>
          <w:rFonts w:ascii="Times New Roman" w:hAnsi="Times New Roman"/>
          <w:color w:val="000000"/>
          <w:lang w:val="es-MX"/>
        </w:rPr>
      </w:pPr>
    </w:p>
    <w:p w:rsidR="00263032" w:rsidRDefault="00263032" w:rsidP="00263032">
      <w:pPr>
        <w:jc w:val="both"/>
        <w:rPr>
          <w:rFonts w:ascii="Times New Roman" w:hAnsi="Times New Roman"/>
          <w:color w:val="000000"/>
        </w:rPr>
      </w:pPr>
      <w:r>
        <w:rPr>
          <w:rFonts w:ascii="Times New Roman" w:hAnsi="Times New Roman"/>
          <w:color w:val="000000"/>
        </w:rPr>
        <w:t>Para ello, el proyecto se propone</w:t>
      </w:r>
      <w:r w:rsidRPr="00AE7938">
        <w:rPr>
          <w:rFonts w:ascii="Times New Roman" w:hAnsi="Times New Roman"/>
          <w:color w:val="000000"/>
        </w:rPr>
        <w:t>:</w:t>
      </w:r>
      <w:r>
        <w:rPr>
          <w:rFonts w:ascii="Times New Roman" w:hAnsi="Times New Roman"/>
          <w:color w:val="000000"/>
        </w:rPr>
        <w:t xml:space="preserve"> a) </w:t>
      </w:r>
      <w:r w:rsidRPr="00AE7938">
        <w:rPr>
          <w:rFonts w:ascii="Times New Roman" w:hAnsi="Times New Roman"/>
          <w:color w:val="000000"/>
        </w:rPr>
        <w:t>Promover y fortalecer la</w:t>
      </w:r>
      <w:r>
        <w:rPr>
          <w:rFonts w:ascii="Times New Roman" w:hAnsi="Times New Roman"/>
          <w:color w:val="000000"/>
        </w:rPr>
        <w:t>s herramientas pedagógicas de formación ciudadana en la acción</w:t>
      </w:r>
      <w:r w:rsidRPr="00AE7938">
        <w:rPr>
          <w:rFonts w:ascii="Times New Roman" w:hAnsi="Times New Roman"/>
          <w:color w:val="000000"/>
        </w:rPr>
        <w:t xml:space="preserve"> participación de los estudiantes</w:t>
      </w:r>
      <w:r>
        <w:rPr>
          <w:rFonts w:ascii="Times New Roman" w:hAnsi="Times New Roman"/>
          <w:color w:val="000000"/>
        </w:rPr>
        <w:t>,</w:t>
      </w:r>
      <w:r w:rsidRPr="00AE7938">
        <w:rPr>
          <w:rFonts w:ascii="Times New Roman" w:hAnsi="Times New Roman"/>
          <w:color w:val="000000"/>
        </w:rPr>
        <w:t xml:space="preserve"> como </w:t>
      </w:r>
      <w:r>
        <w:rPr>
          <w:rFonts w:ascii="Times New Roman" w:hAnsi="Times New Roman"/>
          <w:color w:val="000000"/>
        </w:rPr>
        <w:t>estrategiaque los empodera; b)</w:t>
      </w:r>
      <w:r w:rsidRPr="00AE7938">
        <w:rPr>
          <w:rFonts w:ascii="Times New Roman" w:hAnsi="Times New Roman"/>
          <w:color w:val="000000"/>
        </w:rPr>
        <w:t xml:space="preserve"> Promover la sana convivencia en los colegios distritales y contribuir a la construcción de entornos escolares protectores</w:t>
      </w:r>
      <w:r>
        <w:rPr>
          <w:rFonts w:ascii="Times New Roman" w:hAnsi="Times New Roman"/>
          <w:color w:val="000000"/>
        </w:rPr>
        <w:t xml:space="preserve">, y c) </w:t>
      </w:r>
      <w:r w:rsidRPr="00AE7938">
        <w:rPr>
          <w:rFonts w:ascii="Times New Roman" w:hAnsi="Times New Roman"/>
          <w:color w:val="000000"/>
        </w:rPr>
        <w:t>Proporcionar el recurso humano necesario para desarrollar acciones de educación sobre ciudadanía y convivencia.</w:t>
      </w:r>
      <w:r>
        <w:rPr>
          <w:rFonts w:ascii="Times New Roman" w:hAnsi="Times New Roman"/>
          <w:color w:val="000000"/>
        </w:rPr>
        <w:t xml:space="preserve"> </w:t>
      </w:r>
    </w:p>
    <w:p w:rsidR="0096759B" w:rsidRDefault="0096759B" w:rsidP="00263032">
      <w:pPr>
        <w:jc w:val="both"/>
        <w:rPr>
          <w:rFonts w:ascii="Times New Roman" w:hAnsi="Times New Roman"/>
          <w:color w:val="000000"/>
        </w:rPr>
      </w:pPr>
    </w:p>
    <w:p w:rsidR="00263032" w:rsidRPr="00181318" w:rsidRDefault="00263032" w:rsidP="00263032">
      <w:pPr>
        <w:pStyle w:val="Ttulo3"/>
        <w:rPr>
          <w:rFonts w:ascii="Times New Roman" w:hAnsi="Times New Roman"/>
          <w:i/>
        </w:rPr>
      </w:pPr>
      <w:bookmarkStart w:id="33" w:name="_Toc362358053"/>
      <w:r>
        <w:rPr>
          <w:rFonts w:ascii="Times New Roman" w:hAnsi="Times New Roman"/>
          <w:i/>
        </w:rPr>
        <w:t xml:space="preserve">3.3.5 </w:t>
      </w:r>
      <w:r w:rsidRPr="00181318">
        <w:rPr>
          <w:rFonts w:ascii="Times New Roman" w:hAnsi="Times New Roman"/>
          <w:i/>
        </w:rPr>
        <w:t>Inclusión</w:t>
      </w:r>
      <w:bookmarkEnd w:id="33"/>
      <w:r w:rsidRPr="00181318">
        <w:rPr>
          <w:rFonts w:ascii="Times New Roman" w:hAnsi="Times New Roman"/>
          <w:i/>
        </w:rPr>
        <w:t xml:space="preserve"> </w:t>
      </w:r>
    </w:p>
    <w:p w:rsidR="00263032" w:rsidRPr="00F1703A" w:rsidRDefault="00263032" w:rsidP="00263032">
      <w:pPr>
        <w:jc w:val="both"/>
        <w:rPr>
          <w:rFonts w:ascii="Times New Roman" w:hAnsi="Times New Roman" w:cs="Times New Roman"/>
          <w:b/>
          <w:bCs/>
          <w:lang w:val="es-CO"/>
        </w:rPr>
      </w:pPr>
    </w:p>
    <w:p w:rsidR="00263032" w:rsidRPr="00F1703A" w:rsidRDefault="00263032" w:rsidP="00263032">
      <w:pPr>
        <w:pStyle w:val="Default"/>
        <w:jc w:val="both"/>
        <w:rPr>
          <w:rFonts w:ascii="Times New Roman" w:hAnsi="Times New Roman" w:cs="Times New Roman"/>
          <w:bCs/>
        </w:rPr>
      </w:pPr>
      <w:r w:rsidRPr="00F1703A">
        <w:rPr>
          <w:rFonts w:ascii="Times New Roman" w:hAnsi="Times New Roman" w:cs="Times New Roman"/>
          <w:bCs/>
        </w:rPr>
        <w:t xml:space="preserve">Bogotá Humana entiende la inclusión escolar como la acción educativa pertinente a las condiciones particulares de grupos poblacionales –especialmente a aquellos que presentan situaciones de vulnerabilidad, discriminación o exclusión– para lograr su ingreso y permanencia con equidad en el sistema educativo. </w:t>
      </w:r>
    </w:p>
    <w:p w:rsidR="00263032" w:rsidRPr="00F1703A" w:rsidRDefault="00263032" w:rsidP="00263032">
      <w:pPr>
        <w:pStyle w:val="Default"/>
        <w:jc w:val="both"/>
        <w:rPr>
          <w:rFonts w:ascii="Times New Roman" w:hAnsi="Times New Roman" w:cs="Times New Roman"/>
          <w:bCs/>
        </w:rPr>
      </w:pPr>
    </w:p>
    <w:p w:rsidR="00263032" w:rsidRPr="00F1703A" w:rsidRDefault="00263032" w:rsidP="00263032">
      <w:pPr>
        <w:pStyle w:val="Default"/>
        <w:jc w:val="both"/>
        <w:rPr>
          <w:rFonts w:ascii="Times New Roman" w:hAnsi="Times New Roman" w:cs="Times New Roman"/>
          <w:bCs/>
        </w:rPr>
      </w:pPr>
      <w:r w:rsidRPr="00F1703A">
        <w:rPr>
          <w:rFonts w:ascii="Times New Roman" w:hAnsi="Times New Roman" w:cs="Times New Roman"/>
          <w:bCs/>
        </w:rPr>
        <w:t>La inclusión debe eliminar o minimizar las barreras que limitan la participación de la población independientemente de su situación o condición, promueve transformaciones en el quehacer pedagógico de acuerdo a las particularidades de los diversos estudiantes, y en consecuencia, brinda nuevas oportunidades de enseñanza y aprendizaje. De igual forma, pone en marcha acciones</w:t>
      </w:r>
      <w:r w:rsidRPr="00F1703A">
        <w:rPr>
          <w:rFonts w:ascii="Times New Roman" w:hAnsi="Times New Roman" w:cs="Times New Roman"/>
          <w:bCs/>
          <w:lang w:val="es-ES"/>
        </w:rPr>
        <w:t xml:space="preserve"> afirmativas, entendidas como estrategias de reconocimiento, visibilización y valoración de las distintas maneras de entender el mundo, de los derechos de todos, y de la perspectiva de género.</w:t>
      </w:r>
    </w:p>
    <w:p w:rsidR="00263032" w:rsidRPr="0096759B" w:rsidRDefault="00263032" w:rsidP="00263032">
      <w:pPr>
        <w:pStyle w:val="Default"/>
        <w:jc w:val="both"/>
        <w:rPr>
          <w:rFonts w:ascii="Times New Roman" w:hAnsi="Times New Roman" w:cs="Times New Roman"/>
          <w:bCs/>
          <w:color w:val="auto"/>
        </w:rPr>
      </w:pPr>
    </w:p>
    <w:p w:rsidR="0096759B" w:rsidRPr="0096759B" w:rsidRDefault="0096759B" w:rsidP="0096759B">
      <w:pPr>
        <w:autoSpaceDE w:val="0"/>
        <w:autoSpaceDN w:val="0"/>
        <w:adjustRightInd w:val="0"/>
        <w:jc w:val="both"/>
        <w:rPr>
          <w:rFonts w:ascii="Times New Roman" w:hAnsi="Times New Roman" w:cs="Times New Roman"/>
        </w:rPr>
      </w:pPr>
      <w:r w:rsidRPr="0096759B">
        <w:rPr>
          <w:rFonts w:ascii="Times New Roman" w:hAnsi="Times New Roman" w:cs="Times New Roman"/>
        </w:rPr>
        <w:t>“El objetivo de conseguir escuelas inclusivas se ha convertido en una de las primeras aspiraciones de todos aquellos que defienden la equidad en la educación. Las escuelas para todos, sin exclusiones, en las que convivan y aprendan alumnos de distintas condiciones sociales, de diferentes culturas y con distintas capacidades e intereses, desde los más capaces hasta los que tienen alguna discapacidad, es un modelo ideal que motiva a muchas personas comprometidas con el cambio educativo”</w:t>
      </w:r>
      <w:r w:rsidRPr="0096759B">
        <w:rPr>
          <w:rStyle w:val="Refdenotaalpie"/>
          <w:rFonts w:ascii="Times New Roman" w:hAnsi="Times New Roman" w:cs="Times New Roman"/>
        </w:rPr>
        <w:footnoteReference w:id="94"/>
      </w:r>
      <w:r w:rsidRPr="0096759B">
        <w:rPr>
          <w:rFonts w:ascii="Times New Roman" w:hAnsi="Times New Roman" w:cs="Times New Roman"/>
        </w:rPr>
        <w:t>.</w:t>
      </w:r>
    </w:p>
    <w:p w:rsidR="0096759B" w:rsidRPr="0096759B" w:rsidRDefault="0096759B" w:rsidP="0096759B">
      <w:pPr>
        <w:pStyle w:val="Default"/>
        <w:jc w:val="both"/>
        <w:rPr>
          <w:rFonts w:ascii="Times New Roman" w:hAnsi="Times New Roman" w:cs="Times New Roman"/>
          <w:bCs/>
          <w:color w:val="auto"/>
        </w:rPr>
      </w:pPr>
    </w:p>
    <w:p w:rsidR="00263032" w:rsidRPr="00F1703A" w:rsidRDefault="0096759B" w:rsidP="0096759B">
      <w:pPr>
        <w:pStyle w:val="Default"/>
        <w:jc w:val="both"/>
        <w:rPr>
          <w:rFonts w:ascii="Times New Roman" w:hAnsi="Times New Roman" w:cs="Times New Roman"/>
          <w:lang w:val="es-ES"/>
        </w:rPr>
      </w:pPr>
      <w:r w:rsidRPr="0096759B">
        <w:rPr>
          <w:rFonts w:ascii="Times New Roman" w:hAnsi="Times New Roman" w:cs="Times New Roman"/>
          <w:bCs/>
          <w:color w:val="auto"/>
        </w:rPr>
        <w:t xml:space="preserve">La inclusión piensa y actúa a favor de los grupos étnicos (afrodescendientes, raizales, pueblos indígenas, Rom), víctimas del conflicto armado, y  jóvenes  vinculados al sistema de responsabilidad penal adolescente. También contempla niñas, niños y jóvenes con largas hospitalizaciones o incapacidades médicas, en extraedad, en condición de discapacidad, aquellos con talentos excepcionales, alfabetización y educación de personas adultas, y en situación de trabajo infantil. </w:t>
      </w:r>
      <w:r>
        <w:rPr>
          <w:rFonts w:ascii="Times New Roman" w:hAnsi="Times New Roman" w:cs="Times New Roman"/>
          <w:bCs/>
          <w:color w:val="auto"/>
        </w:rPr>
        <w:t xml:space="preserve">Así, promueve </w:t>
      </w:r>
      <w:r w:rsidRPr="0096759B">
        <w:rPr>
          <w:rFonts w:ascii="Times New Roman" w:hAnsi="Times New Roman" w:cs="Times New Roman"/>
          <w:lang w:val="es-ES"/>
        </w:rPr>
        <w:t>prácticas pedagógicas que respondan a las necesidades</w:t>
      </w:r>
      <w:r w:rsidRPr="00F1703A">
        <w:rPr>
          <w:rFonts w:ascii="Times New Roman" w:hAnsi="Times New Roman" w:cs="Times New Roman"/>
          <w:lang w:val="es-ES"/>
        </w:rPr>
        <w:t xml:space="preserve"> de aprendizaje y participación de estudiantes en condiciones diferentes. Es la </w:t>
      </w:r>
      <w:r w:rsidRPr="00F1703A">
        <w:rPr>
          <w:rFonts w:ascii="Times New Roman" w:hAnsi="Times New Roman" w:cs="Times New Roman"/>
          <w:lang w:val="es-ES"/>
        </w:rPr>
        <w:lastRenderedPageBreak/>
        <w:t>Escuela la que se adapta a sus estudiantes, y no los y las estudiantes a la Escuela.</w:t>
      </w:r>
      <w:r>
        <w:rPr>
          <w:rFonts w:ascii="Times New Roman" w:hAnsi="Times New Roman" w:cs="Times New Roman"/>
          <w:lang w:val="es-ES"/>
        </w:rPr>
        <w:t xml:space="preserve"> También </w:t>
      </w:r>
      <w:r w:rsidRPr="0096759B">
        <w:rPr>
          <w:rFonts w:ascii="Times New Roman" w:hAnsi="Times New Roman" w:cs="Times New Roman"/>
          <w:bCs/>
          <w:color w:val="auto"/>
        </w:rPr>
        <w:t xml:space="preserve">supone el desarrollo de acciones </w:t>
      </w:r>
      <w:r>
        <w:rPr>
          <w:rFonts w:ascii="Times New Roman" w:hAnsi="Times New Roman" w:cs="Times New Roman"/>
          <w:bCs/>
          <w:color w:val="auto"/>
        </w:rPr>
        <w:t xml:space="preserve">que contribuyan </w:t>
      </w:r>
      <w:r w:rsidRPr="00F1703A">
        <w:rPr>
          <w:rFonts w:ascii="Times New Roman" w:hAnsi="Times New Roman" w:cs="Times New Roman"/>
          <w:lang w:val="es-ES"/>
        </w:rPr>
        <w:t>al acceso y permanencia en la Escuela, aprendiendo y respetando las distintas maneras de entender el mundo, los derechos de todos y todas, y la equidad de género.</w:t>
      </w:r>
      <w:r>
        <w:rPr>
          <w:rFonts w:ascii="Times New Roman" w:hAnsi="Times New Roman" w:cs="Times New Roman"/>
          <w:lang w:val="es-ES"/>
        </w:rPr>
        <w:t xml:space="preserve"> </w:t>
      </w:r>
      <w:r w:rsidRPr="0096759B">
        <w:rPr>
          <w:rFonts w:ascii="Times New Roman" w:hAnsi="Times New Roman" w:cs="Times New Roman"/>
          <w:bCs/>
          <w:color w:val="auto"/>
        </w:rPr>
        <w:t>De igual forma</w:t>
      </w:r>
      <w:r>
        <w:rPr>
          <w:rFonts w:ascii="Times New Roman" w:hAnsi="Times New Roman" w:cs="Times New Roman"/>
          <w:bCs/>
          <w:color w:val="auto"/>
        </w:rPr>
        <w:t xml:space="preserve">, supone el desarrollo de procesos de búsqueda activa que permitan identificar niños, niñas y jóvenes desescolarizados y en situación de vulnerabilidad. </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lang w:val="es-ES"/>
        </w:rPr>
      </w:pPr>
    </w:p>
    <w:p w:rsidR="00263032" w:rsidRPr="00F1703A" w:rsidRDefault="0096759B"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u w:val="single"/>
          <w:lang w:val="es-ES"/>
        </w:rPr>
      </w:pPr>
      <w:r>
        <w:rPr>
          <w:rFonts w:ascii="Times New Roman" w:hAnsi="Times New Roman" w:cs="Times New Roman"/>
          <w:u w:val="single"/>
          <w:lang w:val="es-ES"/>
        </w:rPr>
        <w:t>E</w:t>
      </w:r>
      <w:r w:rsidR="00263032" w:rsidRPr="00F1703A">
        <w:rPr>
          <w:rFonts w:ascii="Times New Roman" w:hAnsi="Times New Roman" w:cs="Times New Roman"/>
          <w:u w:val="single"/>
          <w:lang w:val="es-ES"/>
        </w:rPr>
        <w:t>strategias</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lang w:val="es-ES"/>
        </w:rPr>
      </w:pP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Reducción de barreras materiales</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1. Apoyos para el acceso y la permanencia.</w:t>
      </w:r>
    </w:p>
    <w:p w:rsidR="00263032"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2. Adecuaciones físicas y comunicativas en instalaciones escolares.</w:t>
      </w:r>
    </w:p>
    <w:p w:rsidR="0096759B" w:rsidRPr="00F1703A" w:rsidRDefault="0096759B"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Pr>
          <w:rFonts w:ascii="Times New Roman" w:hAnsi="Times New Roman" w:cs="Times New Roman"/>
          <w:lang w:val="es-ES"/>
        </w:rPr>
        <w:t>3. Búsqueda activa de desescolarizados</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Reducción de barreras al aprendizaje y la convivencia</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1. Propuestas pedagógicas flexibles y pertinentes.</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2. Acciones para promover el reconocimiento y equidad.</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3. Redes de maestras y maestros comprometidos.</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lang w:val="es-ES"/>
        </w:rPr>
      </w:pPr>
    </w:p>
    <w:p w:rsidR="00263032" w:rsidRPr="00F1703A" w:rsidRDefault="0096759B"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u w:val="single"/>
          <w:lang w:val="es-ES"/>
        </w:rPr>
      </w:pPr>
      <w:r>
        <w:rPr>
          <w:rFonts w:ascii="Times New Roman" w:hAnsi="Times New Roman" w:cs="Times New Roman"/>
          <w:u w:val="single"/>
          <w:lang w:val="es-ES"/>
        </w:rPr>
        <w:t>M</w:t>
      </w:r>
      <w:r w:rsidR="00263032" w:rsidRPr="00F1703A">
        <w:rPr>
          <w:rFonts w:ascii="Times New Roman" w:hAnsi="Times New Roman" w:cs="Times New Roman"/>
          <w:u w:val="single"/>
          <w:lang w:val="es-ES"/>
        </w:rPr>
        <w:t>etas</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b/>
          <w:lang w:val="es-ES"/>
        </w:rPr>
      </w:pP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Facilitaremos la atención de niños, niñas y jóvenes en procesos de inclusión e integración efectiva.</w:t>
      </w: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sz w:val="22"/>
          <w:szCs w:val="22"/>
          <w:lang w:val="es-ES"/>
        </w:rPr>
      </w:pPr>
    </w:p>
    <w:p w:rsidR="00263032" w:rsidRPr="00F1703A" w:rsidRDefault="00263032" w:rsidP="00263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cs="Times New Roman"/>
          <w:sz w:val="22"/>
          <w:szCs w:val="22"/>
          <w:lang w:val="es-ES"/>
        </w:rPr>
      </w:pPr>
      <w:r w:rsidRPr="00F1703A">
        <w:rPr>
          <w:rFonts w:ascii="Times New Roman" w:hAnsi="Times New Roman" w:cs="Times New Roman"/>
          <w:noProof/>
          <w:sz w:val="22"/>
          <w:szCs w:val="22"/>
          <w:lang w:val="es-ES" w:eastAsia="es-ES"/>
        </w:rPr>
        <w:drawing>
          <wp:inline distT="0" distB="0" distL="0" distR="0">
            <wp:extent cx="4648200" cy="2266950"/>
            <wp:effectExtent l="0" t="0" r="0" b="0"/>
            <wp:docPr id="1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63032" w:rsidRDefault="00263032" w:rsidP="00263032">
      <w:pPr>
        <w:pStyle w:val="Ttulo3"/>
        <w:rPr>
          <w:rFonts w:ascii="Times New Roman" w:hAnsi="Times New Roman"/>
          <w:i/>
        </w:rPr>
      </w:pPr>
    </w:p>
    <w:p w:rsidR="00263032" w:rsidRPr="00181318" w:rsidRDefault="00263032" w:rsidP="00263032">
      <w:pPr>
        <w:pStyle w:val="Ttulo3"/>
        <w:rPr>
          <w:rFonts w:ascii="Times New Roman" w:hAnsi="Times New Roman"/>
          <w:i/>
        </w:rPr>
      </w:pPr>
      <w:bookmarkStart w:id="34" w:name="_Toc362358054"/>
      <w:r>
        <w:rPr>
          <w:rFonts w:ascii="Times New Roman" w:hAnsi="Times New Roman"/>
          <w:i/>
        </w:rPr>
        <w:t xml:space="preserve">3.3.6 </w:t>
      </w:r>
      <w:r w:rsidRPr="00181318">
        <w:rPr>
          <w:rFonts w:ascii="Times New Roman" w:hAnsi="Times New Roman"/>
          <w:i/>
        </w:rPr>
        <w:t>Maestros empoderados con bienestar y mejor formación</w:t>
      </w:r>
      <w:bookmarkEnd w:id="34"/>
    </w:p>
    <w:p w:rsidR="00263032" w:rsidRPr="00263032" w:rsidRDefault="00263032" w:rsidP="00263032">
      <w:pPr>
        <w:jc w:val="both"/>
        <w:rPr>
          <w:rFonts w:ascii="Times New Roman" w:hAnsi="Times New Roman" w:cs="Times New Roman"/>
          <w:b/>
        </w:rPr>
      </w:pPr>
    </w:p>
    <w:p w:rsidR="00263032" w:rsidRPr="00F1703A" w:rsidRDefault="00263032" w:rsidP="00263032">
      <w:pPr>
        <w:jc w:val="both"/>
        <w:rPr>
          <w:rFonts w:ascii="Times New Roman" w:hAnsi="Times New Roman" w:cs="Times New Roman"/>
          <w:lang w:val="es-MX"/>
        </w:rPr>
      </w:pPr>
      <w:r w:rsidRPr="00F1703A">
        <w:rPr>
          <w:rFonts w:ascii="Times New Roman" w:hAnsi="Times New Roman" w:cs="Times New Roman"/>
          <w:lang w:val="es-MX"/>
        </w:rPr>
        <w:t xml:space="preserve">Una educación inclusiva, pertinente y de calidad, </w:t>
      </w:r>
      <w:r w:rsidR="00F25EEB">
        <w:rPr>
          <w:rFonts w:ascii="Times New Roman" w:hAnsi="Times New Roman" w:cs="Times New Roman"/>
          <w:lang w:val="es-MX"/>
        </w:rPr>
        <w:t>depende de manera esencial</w:t>
      </w:r>
      <w:r w:rsidRPr="00F1703A">
        <w:rPr>
          <w:rFonts w:ascii="Times New Roman" w:hAnsi="Times New Roman" w:cs="Times New Roman"/>
          <w:lang w:val="es-MX"/>
        </w:rPr>
        <w:t xml:space="preserve"> </w:t>
      </w:r>
      <w:r w:rsidR="00F25EEB">
        <w:rPr>
          <w:rFonts w:ascii="Times New Roman" w:hAnsi="Times New Roman" w:cs="Times New Roman"/>
          <w:lang w:val="es-MX"/>
        </w:rPr>
        <w:t>d</w:t>
      </w:r>
      <w:r w:rsidRPr="00F1703A">
        <w:rPr>
          <w:rFonts w:ascii="Times New Roman" w:hAnsi="Times New Roman" w:cs="Times New Roman"/>
          <w:lang w:val="es-MX"/>
        </w:rPr>
        <w:t>el compromiso y apoyo de los docentes del Distrito. Por eso, para la Bogotá Humana, es una prioridad el  reconocimiento a los docentes, su empoderamiento y el apoyo efectivo a sus procesos de formación de excelencia.</w:t>
      </w:r>
    </w:p>
    <w:p w:rsidR="00263032" w:rsidRPr="00F1703A" w:rsidRDefault="00263032" w:rsidP="00263032">
      <w:pPr>
        <w:jc w:val="both"/>
        <w:rPr>
          <w:rFonts w:ascii="Times New Roman" w:hAnsi="Times New Roman" w:cs="Times New Roman"/>
          <w:lang w:val="es-CO"/>
        </w:rPr>
      </w:pPr>
    </w:p>
    <w:p w:rsidR="00263032" w:rsidRPr="00F1703A" w:rsidRDefault="00263032" w:rsidP="00263032">
      <w:pPr>
        <w:jc w:val="both"/>
        <w:rPr>
          <w:rFonts w:ascii="Times New Roman" w:hAnsi="Times New Roman" w:cs="Times New Roman"/>
          <w:color w:val="000000"/>
        </w:rPr>
      </w:pPr>
      <w:r w:rsidRPr="00F1703A">
        <w:rPr>
          <w:rFonts w:ascii="Times New Roman" w:hAnsi="Times New Roman" w:cs="Times New Roman"/>
          <w:lang w:val="es-MX"/>
        </w:rPr>
        <w:lastRenderedPageBreak/>
        <w:t xml:space="preserve">Para cumplir estos propósitos la Secretaria de Educación busca garantizar a los docentes y directivos docentes, condiciones laborales y motivacionales para su empoderamiento como sujetos protagonistas de las transformaciones pedagógicas, en el propósito de lograr la calidad de la educación y el reconocimiento social de su labor. </w:t>
      </w:r>
      <w:r w:rsidRPr="00F1703A">
        <w:rPr>
          <w:rFonts w:ascii="Times New Roman" w:hAnsi="Times New Roman" w:cs="Times New Roman"/>
          <w:color w:val="000000"/>
        </w:rPr>
        <w:t xml:space="preserve">Los objetivos específicos son: </w:t>
      </w:r>
    </w:p>
    <w:p w:rsidR="00263032" w:rsidRPr="00F1703A" w:rsidRDefault="00263032" w:rsidP="00263032">
      <w:pPr>
        <w:jc w:val="both"/>
        <w:rPr>
          <w:rFonts w:ascii="Times New Roman" w:hAnsi="Times New Roman" w:cs="Times New Roman"/>
          <w:color w:val="000000"/>
        </w:rPr>
      </w:pPr>
    </w:p>
    <w:p w:rsidR="00263032" w:rsidRPr="00F1703A" w:rsidRDefault="00263032" w:rsidP="00263032">
      <w:pPr>
        <w:pStyle w:val="Prrafodelista"/>
        <w:numPr>
          <w:ilvl w:val="0"/>
          <w:numId w:val="16"/>
        </w:numPr>
        <w:jc w:val="both"/>
        <w:rPr>
          <w:rFonts w:eastAsiaTheme="minorHAnsi"/>
          <w:color w:val="000000"/>
        </w:rPr>
      </w:pPr>
      <w:r w:rsidRPr="00F1703A">
        <w:rPr>
          <w:rFonts w:eastAsiaTheme="minorHAnsi"/>
          <w:color w:val="000000"/>
        </w:rPr>
        <w:t xml:space="preserve">Promover procesos de mejoramiento profesional de los docentes y directivos docentes, a través de programas de formación de excelencia: </w:t>
      </w:r>
    </w:p>
    <w:p w:rsidR="00263032" w:rsidRPr="00F1703A" w:rsidRDefault="00263032" w:rsidP="00263032">
      <w:pPr>
        <w:pStyle w:val="Prrafodelista"/>
        <w:jc w:val="both"/>
        <w:rPr>
          <w:rFonts w:eastAsiaTheme="minorHAnsi"/>
          <w:color w:val="000000"/>
        </w:rPr>
      </w:pPr>
    </w:p>
    <w:p w:rsidR="00263032" w:rsidRPr="00F1703A" w:rsidRDefault="00263032" w:rsidP="00263032">
      <w:pPr>
        <w:pStyle w:val="Prrafodelista"/>
        <w:jc w:val="both"/>
        <w:rPr>
          <w:rFonts w:eastAsiaTheme="minorHAnsi"/>
          <w:color w:val="000000"/>
          <w:lang w:val="es-CO"/>
        </w:rPr>
      </w:pPr>
      <w:r w:rsidRPr="00F1703A">
        <w:rPr>
          <w:rFonts w:eastAsiaTheme="minorHAnsi"/>
          <w:color w:val="000000"/>
          <w:lang w:val="es-MX"/>
        </w:rPr>
        <w:t xml:space="preserve">Se beneficiarán más de 9.000 docentes en programas de postgrado de alto nivel académico y que respondan a los retos del sistema educativo actual, a las necesidades de los colegios y a los programas prioritarios de esta administración como Primera Infancia, Grado 12, Formación para la ciudadanía  y la convivencia y Jornada Semanal de 40 horas. </w:t>
      </w:r>
    </w:p>
    <w:p w:rsidR="00263032" w:rsidRPr="00F1703A" w:rsidRDefault="00263032" w:rsidP="00263032">
      <w:pPr>
        <w:pStyle w:val="Prrafodelista"/>
        <w:jc w:val="both"/>
        <w:rPr>
          <w:rFonts w:eastAsiaTheme="minorHAnsi"/>
          <w:color w:val="000000"/>
          <w:lang w:val="es-CO"/>
        </w:rPr>
      </w:pPr>
      <w:r w:rsidRPr="00F1703A">
        <w:rPr>
          <w:rFonts w:eastAsiaTheme="minorHAnsi"/>
          <w:color w:val="000000"/>
          <w:lang w:val="es-MX"/>
        </w:rPr>
        <w:t> </w:t>
      </w:r>
    </w:p>
    <w:p w:rsidR="00263032" w:rsidRPr="00F1703A" w:rsidRDefault="00263032" w:rsidP="00263032">
      <w:pPr>
        <w:pStyle w:val="Prrafodelista"/>
        <w:jc w:val="both"/>
        <w:rPr>
          <w:rFonts w:eastAsiaTheme="minorHAnsi"/>
          <w:color w:val="000000"/>
          <w:lang w:val="es-MX"/>
        </w:rPr>
      </w:pPr>
      <w:r w:rsidRPr="00F1703A">
        <w:rPr>
          <w:rFonts w:eastAsiaTheme="minorHAnsi"/>
          <w:color w:val="000000"/>
          <w:lang w:val="es-MX"/>
        </w:rPr>
        <w:t>Además se contará con una alianza con las mejores universidades de Bogotá para realizar un acompañamiento efectivo a los docentes, y se tendrá un sistema de seguimiento para garantizar que la formación de posgrados impacte el aula y contribuya a las transformaciones pedagógicas que requieren los colegios. Estos maestros y maestras beneficiadas se comprometerán con las transformaciones pedagógicas y aportarán de manera definitiva a la calidad de la educación.</w:t>
      </w:r>
    </w:p>
    <w:p w:rsidR="00263032" w:rsidRPr="00F1703A" w:rsidRDefault="00263032" w:rsidP="00263032">
      <w:pPr>
        <w:pStyle w:val="Prrafodelista"/>
        <w:jc w:val="both"/>
        <w:rPr>
          <w:rFonts w:eastAsiaTheme="minorHAnsi"/>
          <w:color w:val="000000"/>
        </w:rPr>
      </w:pPr>
    </w:p>
    <w:p w:rsidR="00263032" w:rsidRPr="00F1703A" w:rsidRDefault="00263032" w:rsidP="00263032">
      <w:pPr>
        <w:pStyle w:val="Prrafodelista"/>
        <w:numPr>
          <w:ilvl w:val="0"/>
          <w:numId w:val="16"/>
        </w:numPr>
        <w:jc w:val="both"/>
        <w:rPr>
          <w:rFonts w:eastAsiaTheme="minorHAnsi"/>
          <w:color w:val="000000"/>
        </w:rPr>
      </w:pPr>
      <w:r w:rsidRPr="00F1703A">
        <w:rPr>
          <w:rFonts w:eastAsiaTheme="minorHAnsi"/>
          <w:color w:val="000000"/>
        </w:rPr>
        <w:t>Adelantar programas que ofrezcan mejores condiciones laborales a los docentes y directivos docentes, con miras a impulsar de manera decidida las apuestas centrales del plan de desarrollo Bogotá Humana y de atender las necesidades pedagógicas de los niños, niñas y jóvenes del distrito capital en un mundo globalizado.</w:t>
      </w:r>
    </w:p>
    <w:p w:rsidR="00263032" w:rsidRPr="00F1703A" w:rsidRDefault="00263032" w:rsidP="00263032">
      <w:pPr>
        <w:pStyle w:val="Prrafodelista"/>
        <w:jc w:val="both"/>
        <w:rPr>
          <w:rFonts w:eastAsiaTheme="minorHAnsi"/>
          <w:color w:val="000000"/>
        </w:rPr>
      </w:pPr>
    </w:p>
    <w:p w:rsidR="00263032" w:rsidRPr="00F1703A" w:rsidRDefault="00263032" w:rsidP="00263032">
      <w:pPr>
        <w:pStyle w:val="Prrafodelista"/>
        <w:numPr>
          <w:ilvl w:val="0"/>
          <w:numId w:val="16"/>
        </w:numPr>
        <w:jc w:val="both"/>
        <w:rPr>
          <w:rFonts w:eastAsiaTheme="minorHAnsi"/>
          <w:color w:val="000000"/>
        </w:rPr>
      </w:pPr>
      <w:r w:rsidRPr="00F1703A">
        <w:rPr>
          <w:rFonts w:eastAsiaTheme="minorHAnsi"/>
          <w:color w:val="000000"/>
        </w:rPr>
        <w:t>Empoderar a los maestros y maestras como líderes de las transformaciones sociales, culturales y económicas de la ciudad.</w:t>
      </w:r>
    </w:p>
    <w:p w:rsidR="00263032" w:rsidRPr="00F1703A" w:rsidRDefault="00263032" w:rsidP="00263032">
      <w:pPr>
        <w:pStyle w:val="Prrafodelista"/>
        <w:jc w:val="both"/>
        <w:rPr>
          <w:rFonts w:eastAsiaTheme="minorHAnsi"/>
          <w:color w:val="000000"/>
        </w:rPr>
      </w:pPr>
    </w:p>
    <w:p w:rsidR="00263032" w:rsidRPr="00F1703A" w:rsidRDefault="00263032" w:rsidP="00263032">
      <w:pPr>
        <w:pStyle w:val="Prrafodelista"/>
        <w:jc w:val="both"/>
        <w:rPr>
          <w:rFonts w:eastAsiaTheme="minorHAnsi"/>
          <w:color w:val="000000"/>
          <w:lang w:val="es-ES"/>
        </w:rPr>
      </w:pPr>
      <w:r w:rsidRPr="00F1703A">
        <w:rPr>
          <w:rFonts w:eastAsiaTheme="minorHAnsi"/>
          <w:color w:val="000000"/>
        </w:rPr>
        <w:t xml:space="preserve">La Secretaría de Educación </w:t>
      </w:r>
      <w:r w:rsidRPr="00F1703A">
        <w:rPr>
          <w:rFonts w:eastAsiaTheme="minorHAnsi"/>
          <w:color w:val="000000"/>
          <w:lang w:val="es-ES"/>
        </w:rPr>
        <w:t>tiene como uno de los propósitos el reconocimiento al saber pedagógico y al desempeño del maestro en las diferentes áreas disciplinares para destacarlo de manera tanto  individual como colectiva.</w:t>
      </w:r>
    </w:p>
    <w:p w:rsidR="00263032" w:rsidRPr="00F1703A" w:rsidRDefault="00263032" w:rsidP="00263032">
      <w:pPr>
        <w:pStyle w:val="Prrafodelista"/>
        <w:jc w:val="both"/>
        <w:rPr>
          <w:rFonts w:eastAsiaTheme="minorHAnsi"/>
          <w:color w:val="000000"/>
          <w:lang w:val="es-CO"/>
        </w:rPr>
      </w:pPr>
    </w:p>
    <w:p w:rsidR="00263032" w:rsidRPr="00F1703A" w:rsidRDefault="00263032" w:rsidP="00263032">
      <w:pPr>
        <w:pStyle w:val="Prrafodelista"/>
        <w:jc w:val="both"/>
        <w:rPr>
          <w:rFonts w:eastAsiaTheme="minorHAnsi"/>
          <w:color w:val="000000"/>
          <w:lang w:val="es-ES"/>
        </w:rPr>
      </w:pPr>
      <w:r w:rsidRPr="00F1703A">
        <w:rPr>
          <w:rFonts w:eastAsiaTheme="minorHAnsi"/>
          <w:color w:val="000000"/>
          <w:lang w:val="es-ES"/>
        </w:rPr>
        <w:t>Para cumplir esto, se establece un Plan de acciones de reconocimiento a los maestros y a las maestras generando espacios que destaquen su saber pedagógico.  Este plan beneficiará a más de 1.000 maestros y maestras al año al permitirles actualizarse en las diferentes áreas a través de su participación en eventos académicos y culturales de alto nivel, además de la realización de pasantías e intercambios académicos nacionales e internacionales.</w:t>
      </w:r>
    </w:p>
    <w:p w:rsidR="00263032" w:rsidRPr="00F1703A" w:rsidRDefault="00263032" w:rsidP="00263032">
      <w:pPr>
        <w:pStyle w:val="Prrafodelista"/>
        <w:jc w:val="both"/>
        <w:rPr>
          <w:rFonts w:eastAsiaTheme="minorHAnsi"/>
          <w:color w:val="000000"/>
          <w:lang w:val="es-CO"/>
        </w:rPr>
      </w:pPr>
    </w:p>
    <w:p w:rsidR="00263032" w:rsidRPr="00F1703A" w:rsidRDefault="00263032" w:rsidP="00263032">
      <w:pPr>
        <w:pStyle w:val="Prrafodelista"/>
        <w:jc w:val="both"/>
        <w:rPr>
          <w:rFonts w:eastAsiaTheme="minorHAnsi"/>
          <w:color w:val="000000"/>
          <w:lang w:val="es-CO"/>
        </w:rPr>
      </w:pPr>
      <w:r w:rsidRPr="00F1703A">
        <w:rPr>
          <w:rFonts w:eastAsiaTheme="minorHAnsi"/>
          <w:color w:val="000000"/>
          <w:lang w:val="es-ES"/>
        </w:rPr>
        <w:t xml:space="preserve">El reconocimiento a maestros y maestras motivará de manera significativa su aporte para una mejor educación y de mayor calidad; de igual manera, promoverá su participación en los diversos programas de formación como un par académico, un maestro que investiga e innova el aula y es socializador de sus experiencias pedagógicas; se reconocerá además, por ser un promotor en la implementación de </w:t>
      </w:r>
      <w:r w:rsidRPr="00F1703A">
        <w:rPr>
          <w:rFonts w:eastAsiaTheme="minorHAnsi"/>
          <w:color w:val="000000"/>
          <w:lang w:val="es-ES"/>
        </w:rPr>
        <w:lastRenderedPageBreak/>
        <w:t xml:space="preserve">sus investigaciones e innovaciones, producto de los proyectos trabajados en el colegio y que trascienden el aula de clase. </w:t>
      </w:r>
    </w:p>
    <w:p w:rsidR="00263032" w:rsidRPr="00F1703A" w:rsidRDefault="00263032" w:rsidP="00263032">
      <w:pPr>
        <w:pStyle w:val="Prrafodelista"/>
        <w:jc w:val="both"/>
        <w:rPr>
          <w:rFonts w:eastAsiaTheme="minorHAnsi"/>
          <w:color w:val="000000"/>
          <w:lang w:val="es-CO"/>
        </w:rPr>
      </w:pPr>
    </w:p>
    <w:p w:rsidR="00263032" w:rsidRPr="00F1703A" w:rsidRDefault="00263032" w:rsidP="00263032">
      <w:pPr>
        <w:jc w:val="both"/>
        <w:rPr>
          <w:rFonts w:ascii="Times New Roman" w:hAnsi="Times New Roman" w:cs="Times New Roman"/>
          <w:lang w:val="es-CO"/>
        </w:rPr>
      </w:pPr>
      <w:r w:rsidRPr="00F1703A">
        <w:rPr>
          <w:rFonts w:ascii="Times New Roman" w:hAnsi="Times New Roman" w:cs="Times New Roman"/>
          <w:lang w:val="es-MX"/>
        </w:rPr>
        <w:t>Los resultados de estos procesos serán:</w:t>
      </w:r>
    </w:p>
    <w:p w:rsidR="00263032" w:rsidRPr="00F1703A" w:rsidRDefault="00263032" w:rsidP="00263032">
      <w:pPr>
        <w:pStyle w:val="Prrafodelista"/>
        <w:numPr>
          <w:ilvl w:val="0"/>
          <w:numId w:val="17"/>
        </w:numPr>
        <w:jc w:val="both"/>
        <w:rPr>
          <w:lang w:val="es-CO"/>
        </w:rPr>
      </w:pPr>
      <w:r w:rsidRPr="00F1703A">
        <w:rPr>
          <w:lang w:val="es-MX"/>
        </w:rPr>
        <w:t xml:space="preserve">Más y mejores innovaciones pedagógicas en el aula. </w:t>
      </w:r>
    </w:p>
    <w:p w:rsidR="00263032" w:rsidRPr="00F1703A" w:rsidRDefault="00263032" w:rsidP="00263032">
      <w:pPr>
        <w:pStyle w:val="Prrafodelista"/>
        <w:numPr>
          <w:ilvl w:val="0"/>
          <w:numId w:val="17"/>
        </w:numPr>
        <w:jc w:val="both"/>
        <w:rPr>
          <w:lang w:val="es-CO"/>
        </w:rPr>
      </w:pPr>
      <w:r w:rsidRPr="00F1703A">
        <w:rPr>
          <w:lang w:val="es-MX"/>
        </w:rPr>
        <w:t xml:space="preserve">Consolidación de las redes de maestros. </w:t>
      </w:r>
    </w:p>
    <w:p w:rsidR="00263032" w:rsidRPr="00F1703A" w:rsidRDefault="00263032" w:rsidP="00263032">
      <w:pPr>
        <w:pStyle w:val="Prrafodelista"/>
        <w:numPr>
          <w:ilvl w:val="0"/>
          <w:numId w:val="17"/>
        </w:numPr>
        <w:jc w:val="both"/>
        <w:rPr>
          <w:lang w:val="es-CO"/>
        </w:rPr>
      </w:pPr>
      <w:r w:rsidRPr="00F1703A">
        <w:rPr>
          <w:lang w:val="es-MX"/>
        </w:rPr>
        <w:t>Mejores ambientes de aprendizaje.</w:t>
      </w:r>
    </w:p>
    <w:p w:rsidR="00263032" w:rsidRPr="00263032" w:rsidRDefault="00263032" w:rsidP="00181318">
      <w:pPr>
        <w:pStyle w:val="Prrafodelista"/>
        <w:numPr>
          <w:ilvl w:val="0"/>
          <w:numId w:val="17"/>
        </w:numPr>
        <w:jc w:val="both"/>
        <w:rPr>
          <w:lang w:val="es-CO"/>
        </w:rPr>
      </w:pPr>
      <w:r w:rsidRPr="00F1703A">
        <w:rPr>
          <w:lang w:val="es-MX"/>
        </w:rPr>
        <w:t xml:space="preserve">Pero fundamentalmente el resultado esperado de esta estrategia de formación es contar con maestros más motivados, empoderados y con mejor formación para lograr una educación pública de calidad. </w:t>
      </w:r>
    </w:p>
    <w:p w:rsidR="00181318" w:rsidRPr="00181318" w:rsidRDefault="00263032" w:rsidP="00181318">
      <w:pPr>
        <w:pStyle w:val="Ttulo3"/>
        <w:rPr>
          <w:rFonts w:ascii="Times New Roman" w:hAnsi="Times New Roman"/>
          <w:i/>
        </w:rPr>
      </w:pPr>
      <w:bookmarkStart w:id="35" w:name="_Toc362358055"/>
      <w:r>
        <w:rPr>
          <w:rFonts w:ascii="Times New Roman" w:hAnsi="Times New Roman"/>
          <w:i/>
        </w:rPr>
        <w:t>3.3.7</w:t>
      </w:r>
      <w:r w:rsidR="00181318">
        <w:rPr>
          <w:rFonts w:ascii="Times New Roman" w:hAnsi="Times New Roman"/>
          <w:i/>
        </w:rPr>
        <w:t xml:space="preserve"> </w:t>
      </w:r>
      <w:r w:rsidR="00181318" w:rsidRPr="00181318">
        <w:rPr>
          <w:rFonts w:ascii="Times New Roman" w:hAnsi="Times New Roman"/>
          <w:i/>
        </w:rPr>
        <w:t>Tecnologías de la información y las comunicaciones - TICs</w:t>
      </w:r>
      <w:bookmarkEnd w:id="35"/>
    </w:p>
    <w:p w:rsidR="00181318" w:rsidRPr="00F1703A" w:rsidRDefault="00181318" w:rsidP="00181318">
      <w:pPr>
        <w:jc w:val="both"/>
        <w:rPr>
          <w:rFonts w:ascii="Times New Roman" w:hAnsi="Times New Roman" w:cs="Times New Roman"/>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La Bogotá Humana promueve el acceso de los niños, niñas y jóvenes a herramientas tecnológicas avanzadas. Un universo de información para que los estudiantes de los colegios oficiales puedan desarrollar capacidades para comunicarse, ampliar sus conocimientos, establecer relaciones, plantearse interrogantes, enriquecer el análisis  y resolver inquie</w:t>
      </w:r>
      <w:r w:rsidR="00632A3F">
        <w:rPr>
          <w:rFonts w:ascii="Times New Roman" w:hAnsi="Times New Roman" w:cs="Times New Roman"/>
        </w:rPr>
        <w:t xml:space="preserve">tudes. Cuando los niños, niñas </w:t>
      </w:r>
      <w:r w:rsidRPr="00F1703A">
        <w:rPr>
          <w:rFonts w:ascii="Times New Roman" w:hAnsi="Times New Roman" w:cs="Times New Roman"/>
        </w:rPr>
        <w:t xml:space="preserve">y jóvenes, orientados por docentes empoderados, interactúan con las TIC, acceden a la información, participan en los procesos de generación del conocimiento y de transformación tecnológica y desarrollan la capacidad para analizar y enfrentar situaciones de manera crítica. Los estudiantes </w:t>
      </w:r>
      <w:r w:rsidRPr="00F1703A">
        <w:rPr>
          <w:rFonts w:ascii="Times New Roman" w:hAnsi="Times New Roman" w:cs="Times New Roman"/>
          <w:lang w:val="es-MX"/>
        </w:rPr>
        <w:t>aprenden a usar hardware y software como un medio más que como un fin, adaptándolos a sus intereses, pero lo importante es el mindware: el criterio para seleccionar y valorar la información. En ese sentido, el aprendizaje sucede cuando los niños y jóvenes saben moverse por el universo de la información.</w:t>
      </w:r>
    </w:p>
    <w:p w:rsidR="00181318" w:rsidRPr="00F1703A" w:rsidRDefault="00181318" w:rsidP="00181318">
      <w:pPr>
        <w:jc w:val="both"/>
        <w:rPr>
          <w:rFonts w:ascii="Times New Roman" w:hAnsi="Times New Roman" w:cs="Times New Roman"/>
          <w:lang w:val="es-MX"/>
        </w:rPr>
      </w:pPr>
    </w:p>
    <w:p w:rsidR="00181318" w:rsidRDefault="00181318" w:rsidP="00181318">
      <w:pPr>
        <w:jc w:val="both"/>
        <w:rPr>
          <w:rFonts w:ascii="Times New Roman" w:hAnsi="Times New Roman" w:cs="Times New Roman"/>
          <w:lang w:val="es-MX"/>
        </w:rPr>
      </w:pPr>
      <w:r w:rsidRPr="00F1703A">
        <w:rPr>
          <w:rFonts w:ascii="Times New Roman" w:hAnsi="Times New Roman" w:cs="Times New Roman"/>
          <w:lang w:val="es-MX"/>
        </w:rPr>
        <w:t>Las ciencias, las artes y los valores se aprenden indagando. La clave de la pedagogía vía TIC está en servir a los intereses de los estudiantes. Desde esta perspectiva, no existen respuestas únicas u oficiales; los objetos de aprendizaje se trabajan para construir preguntas y para buscar respuestas pertinentes. Las TIC ayudan a romper la inequidad. Por medio de ellas se privilegiará el diálogo con la ciudad, el país y el mundo y en especial la interacción entre niños, niñas y jóvenes de diversos orígenes sociales y culturales</w:t>
      </w:r>
      <w:r w:rsidR="000D3EF6">
        <w:rPr>
          <w:rFonts w:ascii="Times New Roman" w:hAnsi="Times New Roman" w:cs="Times New Roman"/>
          <w:lang w:val="es-MX"/>
        </w:rPr>
        <w:t xml:space="preserve"> a favor del </w:t>
      </w:r>
      <w:r w:rsidR="000D3EF6">
        <w:rPr>
          <w:rFonts w:ascii="Tahoma" w:eastAsiaTheme="minorHAnsi" w:hAnsi="Tahoma" w:cs="Tahoma"/>
          <w:color w:val="000000"/>
          <w:sz w:val="20"/>
          <w:szCs w:val="20"/>
          <w:lang w:val="es-ES" w:eastAsia="en-US"/>
        </w:rPr>
        <w:t>manejo inclusivo y la superación de limitaciones y capacidades especiales</w:t>
      </w:r>
      <w:r w:rsidRPr="00F1703A">
        <w:rPr>
          <w:rFonts w:ascii="Times New Roman" w:hAnsi="Times New Roman" w:cs="Times New Roman"/>
          <w:lang w:val="es-MX"/>
        </w:rPr>
        <w:t>. Se privilegiará el uso de software libre.</w:t>
      </w:r>
    </w:p>
    <w:p w:rsidR="00C24C07" w:rsidRPr="000D3EF6" w:rsidRDefault="00C24C07" w:rsidP="00C24C07">
      <w:pPr>
        <w:jc w:val="both"/>
        <w:rPr>
          <w:rFonts w:ascii="Times New Roman" w:eastAsia="Times New Roman" w:hAnsi="Times New Roman" w:cs="Times New Roman"/>
          <w:lang w:val="es-MX" w:eastAsia="es-CO"/>
        </w:rPr>
      </w:pPr>
    </w:p>
    <w:p w:rsidR="00C24C07" w:rsidRPr="00F447F0" w:rsidRDefault="00C24C07" w:rsidP="00C24C07">
      <w:pPr>
        <w:jc w:val="both"/>
        <w:rPr>
          <w:rFonts w:ascii="Times New Roman" w:eastAsia="Times New Roman" w:hAnsi="Times New Roman" w:cs="Times New Roman"/>
          <w:lang w:eastAsia="es-CO"/>
        </w:rPr>
      </w:pPr>
      <w:r w:rsidRPr="008E40EC">
        <w:rPr>
          <w:rFonts w:ascii="Times New Roman" w:eastAsia="Times New Roman" w:hAnsi="Times New Roman" w:cs="Times New Roman"/>
          <w:lang w:eastAsia="es-CO"/>
        </w:rPr>
        <w:t>Para alcanzar los objetivos se ejecutarán las siguientes actividades:</w:t>
      </w:r>
    </w:p>
    <w:p w:rsidR="00C24C07" w:rsidRDefault="00C24C07" w:rsidP="00C24C07">
      <w:pPr>
        <w:jc w:val="both"/>
        <w:rPr>
          <w:rFonts w:ascii="Times New Roman" w:eastAsia="Times New Roman" w:hAnsi="Times New Roman" w:cs="Times New Roman"/>
          <w:b/>
          <w:lang w:eastAsia="es-CO"/>
        </w:rPr>
      </w:pPr>
    </w:p>
    <w:p w:rsidR="00C24C07" w:rsidRDefault="00C24C07" w:rsidP="00C24C07">
      <w:pPr>
        <w:jc w:val="both"/>
        <w:rPr>
          <w:rFonts w:ascii="Times New Roman" w:eastAsia="Times New Roman" w:hAnsi="Times New Roman" w:cs="Times New Roman"/>
          <w:lang w:eastAsia="es-CO"/>
        </w:rPr>
      </w:pPr>
      <w:r>
        <w:rPr>
          <w:rFonts w:ascii="Times New Roman" w:eastAsia="Times New Roman" w:hAnsi="Times New Roman" w:cs="Times New Roman"/>
          <w:lang w:eastAsia="es-CO"/>
        </w:rPr>
        <w:t>C</w:t>
      </w:r>
      <w:r w:rsidRPr="00AA6B89">
        <w:rPr>
          <w:rFonts w:ascii="Times New Roman" w:eastAsia="Times New Roman" w:hAnsi="Times New Roman" w:cs="Times New Roman"/>
          <w:lang w:eastAsia="es-CO"/>
        </w:rPr>
        <w:t>onectividad y tecnolog</w:t>
      </w:r>
      <w:r>
        <w:rPr>
          <w:rFonts w:ascii="Times New Roman" w:eastAsia="Times New Roman" w:hAnsi="Times New Roman" w:cs="Times New Roman"/>
          <w:lang w:eastAsia="es-CO"/>
        </w:rPr>
        <w:t>í</w:t>
      </w:r>
      <w:r w:rsidRPr="00AA6B89">
        <w:rPr>
          <w:rFonts w:ascii="Times New Roman" w:eastAsia="Times New Roman" w:hAnsi="Times New Roman" w:cs="Times New Roman"/>
          <w:lang w:eastAsia="es-CO"/>
        </w:rPr>
        <w:t>as de</w:t>
      </w:r>
      <w:r>
        <w:rPr>
          <w:rFonts w:ascii="Times New Roman" w:eastAsia="Times New Roman" w:hAnsi="Times New Roman" w:cs="Times New Roman"/>
          <w:lang w:eastAsia="es-CO"/>
        </w:rPr>
        <w:t xml:space="preserve"> </w:t>
      </w:r>
      <w:r w:rsidRPr="00AA6B89">
        <w:rPr>
          <w:rFonts w:ascii="Times New Roman" w:eastAsia="Times New Roman" w:hAnsi="Times New Roman" w:cs="Times New Roman"/>
          <w:lang w:eastAsia="es-CO"/>
        </w:rPr>
        <w:t>la información y las comunicaciones. Adecuar en</w:t>
      </w:r>
      <w:r>
        <w:rPr>
          <w:rFonts w:ascii="Times New Roman" w:eastAsia="Times New Roman" w:hAnsi="Times New Roman" w:cs="Times New Roman"/>
          <w:lang w:eastAsia="es-CO"/>
        </w:rPr>
        <w:t xml:space="preserve"> </w:t>
      </w:r>
      <w:r w:rsidR="00374A02">
        <w:rPr>
          <w:rFonts w:ascii="Times New Roman" w:eastAsia="Times New Roman" w:hAnsi="Times New Roman" w:cs="Times New Roman"/>
          <w:lang w:eastAsia="es-CO"/>
        </w:rPr>
        <w:t xml:space="preserve">el 100% de los colegios </w:t>
      </w:r>
      <w:r>
        <w:rPr>
          <w:rFonts w:ascii="Times New Roman" w:eastAsia="Times New Roman" w:hAnsi="Times New Roman" w:cs="Times New Roman"/>
          <w:lang w:eastAsia="es-CO"/>
        </w:rPr>
        <w:t>la c</w:t>
      </w:r>
      <w:r w:rsidRPr="00AA6B89">
        <w:rPr>
          <w:rFonts w:ascii="Times New Roman" w:eastAsia="Times New Roman" w:hAnsi="Times New Roman" w:cs="Times New Roman"/>
          <w:lang w:eastAsia="es-CO"/>
        </w:rPr>
        <w:t xml:space="preserve">onectividad con enlaces de </w:t>
      </w:r>
      <w:r>
        <w:rPr>
          <w:rFonts w:ascii="Times New Roman" w:eastAsia="Times New Roman" w:hAnsi="Times New Roman" w:cs="Times New Roman"/>
          <w:lang w:eastAsia="es-CO"/>
        </w:rPr>
        <w:t>b</w:t>
      </w:r>
      <w:r w:rsidRPr="00AA6B89">
        <w:rPr>
          <w:rFonts w:ascii="Times New Roman" w:eastAsia="Times New Roman" w:hAnsi="Times New Roman" w:cs="Times New Roman"/>
          <w:lang w:eastAsia="es-CO"/>
        </w:rPr>
        <w:t xml:space="preserve">anda </w:t>
      </w:r>
      <w:r>
        <w:rPr>
          <w:rFonts w:ascii="Times New Roman" w:eastAsia="Times New Roman" w:hAnsi="Times New Roman" w:cs="Times New Roman"/>
          <w:lang w:eastAsia="es-CO"/>
        </w:rPr>
        <w:t>a</w:t>
      </w:r>
      <w:r w:rsidRPr="00AA6B89">
        <w:rPr>
          <w:rFonts w:ascii="Times New Roman" w:eastAsia="Times New Roman" w:hAnsi="Times New Roman" w:cs="Times New Roman"/>
          <w:lang w:eastAsia="es-CO"/>
        </w:rPr>
        <w:t>ncha de 30Mb</w:t>
      </w:r>
      <w:r>
        <w:rPr>
          <w:rFonts w:ascii="Times New Roman" w:eastAsia="Times New Roman" w:hAnsi="Times New Roman" w:cs="Times New Roman"/>
          <w:lang w:eastAsia="es-CO"/>
        </w:rPr>
        <w:t>, m</w:t>
      </w:r>
      <w:r w:rsidRPr="00AA6B89">
        <w:rPr>
          <w:rFonts w:ascii="Times New Roman" w:eastAsia="Times New Roman" w:hAnsi="Times New Roman" w:cs="Times New Roman"/>
          <w:lang w:eastAsia="es-CO"/>
        </w:rPr>
        <w:t>ejora</w:t>
      </w:r>
      <w:r>
        <w:rPr>
          <w:rFonts w:ascii="Times New Roman" w:eastAsia="Times New Roman" w:hAnsi="Times New Roman" w:cs="Times New Roman"/>
          <w:lang w:eastAsia="es-CO"/>
        </w:rPr>
        <w:t>r</w:t>
      </w:r>
      <w:r w:rsidRPr="00AA6B89">
        <w:rPr>
          <w:rFonts w:ascii="Times New Roman" w:eastAsia="Times New Roman" w:hAnsi="Times New Roman" w:cs="Times New Roman"/>
          <w:lang w:eastAsia="es-CO"/>
        </w:rPr>
        <w:t xml:space="preserve"> la plataforma tecnológica de seguridad y administración</w:t>
      </w:r>
      <w:r>
        <w:rPr>
          <w:rFonts w:ascii="Times New Roman" w:eastAsia="Times New Roman" w:hAnsi="Times New Roman" w:cs="Times New Roman"/>
          <w:lang w:eastAsia="es-CO"/>
        </w:rPr>
        <w:t>, i</w:t>
      </w:r>
      <w:r w:rsidRPr="00AA6B89">
        <w:rPr>
          <w:rFonts w:ascii="Times New Roman" w:eastAsia="Times New Roman" w:hAnsi="Times New Roman" w:cs="Times New Roman"/>
          <w:lang w:eastAsia="es-CO"/>
        </w:rPr>
        <w:t>mplementa</w:t>
      </w:r>
      <w:r>
        <w:rPr>
          <w:rFonts w:ascii="Times New Roman" w:eastAsia="Times New Roman" w:hAnsi="Times New Roman" w:cs="Times New Roman"/>
          <w:lang w:eastAsia="es-CO"/>
        </w:rPr>
        <w:t>r</w:t>
      </w:r>
      <w:r w:rsidRPr="00AA6B89">
        <w:rPr>
          <w:rFonts w:ascii="Times New Roman" w:eastAsia="Times New Roman" w:hAnsi="Times New Roman" w:cs="Times New Roman"/>
          <w:lang w:eastAsia="es-CO"/>
        </w:rPr>
        <w:t xml:space="preserve"> nuevos servicios</w:t>
      </w:r>
      <w:r>
        <w:rPr>
          <w:rFonts w:ascii="Times New Roman" w:eastAsia="Times New Roman" w:hAnsi="Times New Roman" w:cs="Times New Roman"/>
          <w:lang w:eastAsia="es-CO"/>
        </w:rPr>
        <w:t>, m</w:t>
      </w:r>
      <w:r w:rsidRPr="00AA6B89">
        <w:rPr>
          <w:rFonts w:ascii="Times New Roman" w:eastAsia="Times New Roman" w:hAnsi="Times New Roman" w:cs="Times New Roman"/>
          <w:lang w:eastAsia="es-CO"/>
        </w:rPr>
        <w:t>oderniza</w:t>
      </w:r>
      <w:r>
        <w:rPr>
          <w:rFonts w:ascii="Times New Roman" w:eastAsia="Times New Roman" w:hAnsi="Times New Roman" w:cs="Times New Roman"/>
          <w:lang w:eastAsia="es-CO"/>
        </w:rPr>
        <w:t>r</w:t>
      </w:r>
      <w:r w:rsidRPr="00AA6B89">
        <w:rPr>
          <w:rFonts w:ascii="Times New Roman" w:eastAsia="Times New Roman" w:hAnsi="Times New Roman" w:cs="Times New Roman"/>
          <w:lang w:eastAsia="es-CO"/>
        </w:rPr>
        <w:t xml:space="preserve"> los </w:t>
      </w:r>
      <w:r>
        <w:rPr>
          <w:rFonts w:ascii="Times New Roman" w:eastAsia="Times New Roman" w:hAnsi="Times New Roman" w:cs="Times New Roman"/>
          <w:lang w:eastAsia="es-CO"/>
        </w:rPr>
        <w:t>e</w:t>
      </w:r>
      <w:r w:rsidRPr="00AA6B89">
        <w:rPr>
          <w:rFonts w:ascii="Times New Roman" w:eastAsia="Times New Roman" w:hAnsi="Times New Roman" w:cs="Times New Roman"/>
          <w:lang w:eastAsia="es-CO"/>
        </w:rPr>
        <w:t xml:space="preserve">quipos de </w:t>
      </w:r>
      <w:r>
        <w:rPr>
          <w:rFonts w:ascii="Times New Roman" w:eastAsia="Times New Roman" w:hAnsi="Times New Roman" w:cs="Times New Roman"/>
          <w:lang w:eastAsia="es-CO"/>
        </w:rPr>
        <w:t>có</w:t>
      </w:r>
      <w:r w:rsidRPr="00AA6B89">
        <w:rPr>
          <w:rFonts w:ascii="Times New Roman" w:eastAsia="Times New Roman" w:hAnsi="Times New Roman" w:cs="Times New Roman"/>
          <w:lang w:eastAsia="es-CO"/>
        </w:rPr>
        <w:t xml:space="preserve">mputo. </w:t>
      </w:r>
    </w:p>
    <w:p w:rsidR="00C24C07" w:rsidRPr="00AA6B89" w:rsidRDefault="00C24C07" w:rsidP="00C24C07">
      <w:pPr>
        <w:jc w:val="both"/>
        <w:rPr>
          <w:rFonts w:ascii="Times New Roman" w:eastAsia="Times New Roman" w:hAnsi="Times New Roman" w:cs="Times New Roman"/>
          <w:lang w:eastAsia="es-CO"/>
        </w:rPr>
      </w:pPr>
    </w:p>
    <w:p w:rsidR="00C24C07" w:rsidRPr="00AA6B89" w:rsidRDefault="00C24C07" w:rsidP="00C24C07">
      <w:pPr>
        <w:jc w:val="both"/>
        <w:rPr>
          <w:rFonts w:ascii="Times New Roman" w:eastAsia="Times New Roman" w:hAnsi="Times New Roman" w:cs="Times New Roman"/>
          <w:lang w:eastAsia="es-CO"/>
        </w:rPr>
      </w:pPr>
      <w:r>
        <w:rPr>
          <w:rFonts w:ascii="Times New Roman" w:eastAsia="Times New Roman" w:hAnsi="Times New Roman" w:cs="Times New Roman"/>
          <w:lang w:eastAsia="es-CO"/>
        </w:rPr>
        <w:t>I</w:t>
      </w:r>
      <w:r w:rsidRPr="00AA6B89">
        <w:rPr>
          <w:rFonts w:ascii="Times New Roman" w:eastAsia="Times New Roman" w:hAnsi="Times New Roman" w:cs="Times New Roman"/>
          <w:lang w:eastAsia="es-CO"/>
        </w:rPr>
        <w:t>ncorporación</w:t>
      </w:r>
      <w:r>
        <w:rPr>
          <w:rFonts w:ascii="Times New Roman" w:eastAsia="Times New Roman" w:hAnsi="Times New Roman" w:cs="Times New Roman"/>
          <w:lang w:eastAsia="es-CO"/>
        </w:rPr>
        <w:t>,</w:t>
      </w:r>
      <w:r w:rsidRPr="00AA6B89">
        <w:rPr>
          <w:rFonts w:ascii="Times New Roman" w:eastAsia="Times New Roman" w:hAnsi="Times New Roman" w:cs="Times New Roman"/>
          <w:lang w:eastAsia="es-CO"/>
        </w:rPr>
        <w:t xml:space="preserve"> uso y apropiación de las ciencias</w:t>
      </w:r>
      <w:r>
        <w:rPr>
          <w:rFonts w:ascii="Times New Roman" w:eastAsia="Times New Roman" w:hAnsi="Times New Roman" w:cs="Times New Roman"/>
          <w:lang w:eastAsia="es-CO"/>
        </w:rPr>
        <w:t xml:space="preserve"> y</w:t>
      </w:r>
      <w:r w:rsidRPr="00AA6B89">
        <w:rPr>
          <w:rFonts w:ascii="Times New Roman" w:eastAsia="Times New Roman" w:hAnsi="Times New Roman" w:cs="Times New Roman"/>
          <w:lang w:eastAsia="es-CO"/>
        </w:rPr>
        <w:t xml:space="preserve"> las tecnolog</w:t>
      </w:r>
      <w:r>
        <w:rPr>
          <w:rFonts w:ascii="Times New Roman" w:eastAsia="Times New Roman" w:hAnsi="Times New Roman" w:cs="Times New Roman"/>
          <w:lang w:eastAsia="es-CO"/>
        </w:rPr>
        <w:t>í</w:t>
      </w:r>
      <w:r w:rsidRPr="00AA6B89">
        <w:rPr>
          <w:rFonts w:ascii="Times New Roman" w:eastAsia="Times New Roman" w:hAnsi="Times New Roman" w:cs="Times New Roman"/>
          <w:lang w:eastAsia="es-CO"/>
        </w:rPr>
        <w:t>as para la innovación y la creatividad.</w:t>
      </w:r>
      <w:r>
        <w:rPr>
          <w:rFonts w:ascii="Times New Roman" w:eastAsia="Times New Roman" w:hAnsi="Times New Roman" w:cs="Times New Roman"/>
          <w:lang w:eastAsia="es-CO"/>
        </w:rPr>
        <w:t xml:space="preserve"> </w:t>
      </w:r>
      <w:r w:rsidRPr="00AA6B89">
        <w:rPr>
          <w:rFonts w:ascii="Times New Roman" w:eastAsia="Times New Roman" w:hAnsi="Times New Roman" w:cs="Times New Roman"/>
          <w:lang w:eastAsia="es-CO"/>
        </w:rPr>
        <w:t xml:space="preserve">Apoyar y acompañar </w:t>
      </w:r>
      <w:r>
        <w:rPr>
          <w:rFonts w:ascii="Times New Roman" w:eastAsia="Times New Roman" w:hAnsi="Times New Roman" w:cs="Times New Roman"/>
          <w:lang w:eastAsia="es-CO"/>
        </w:rPr>
        <w:t>a los c</w:t>
      </w:r>
      <w:r w:rsidRPr="00AA6B89">
        <w:rPr>
          <w:rFonts w:ascii="Times New Roman" w:eastAsia="Times New Roman" w:hAnsi="Times New Roman" w:cs="Times New Roman"/>
          <w:lang w:eastAsia="es-CO"/>
        </w:rPr>
        <w:t>olegios del sistema educativo del Distrito Capital</w:t>
      </w:r>
      <w:r>
        <w:rPr>
          <w:rFonts w:ascii="Times New Roman" w:eastAsia="Times New Roman" w:hAnsi="Times New Roman" w:cs="Times New Roman"/>
          <w:lang w:eastAsia="es-CO"/>
        </w:rPr>
        <w:t xml:space="preserve"> </w:t>
      </w:r>
      <w:r w:rsidRPr="00AA6B89">
        <w:rPr>
          <w:rFonts w:ascii="Times New Roman" w:eastAsia="Times New Roman" w:hAnsi="Times New Roman" w:cs="Times New Roman"/>
          <w:lang w:eastAsia="es-CO"/>
        </w:rPr>
        <w:t xml:space="preserve">en la incorporación, uso y apropiación de las ciencias y las tecnologías para la innovación y </w:t>
      </w:r>
      <w:r w:rsidRPr="00AA6B89">
        <w:rPr>
          <w:rFonts w:ascii="Times New Roman" w:eastAsia="Times New Roman" w:hAnsi="Times New Roman" w:cs="Times New Roman"/>
          <w:lang w:eastAsia="es-CO"/>
        </w:rPr>
        <w:lastRenderedPageBreak/>
        <w:t>la creatividad mediante el uso pedagógico de los medios de comunicación en los ambientes de aprendizaje conformados</w:t>
      </w:r>
      <w:r>
        <w:rPr>
          <w:rFonts w:ascii="Times New Roman" w:eastAsia="Times New Roman" w:hAnsi="Times New Roman" w:cs="Times New Roman"/>
          <w:lang w:eastAsia="es-CO"/>
        </w:rPr>
        <w:t>.</w:t>
      </w:r>
    </w:p>
    <w:p w:rsidR="00C24C07" w:rsidRPr="00AA6B89" w:rsidRDefault="00C24C07" w:rsidP="00C24C07">
      <w:pPr>
        <w:jc w:val="both"/>
        <w:rPr>
          <w:rFonts w:ascii="Times New Roman" w:eastAsia="Times New Roman" w:hAnsi="Times New Roman" w:cs="Times New Roman"/>
          <w:lang w:eastAsia="es-CO"/>
        </w:rPr>
      </w:pPr>
    </w:p>
    <w:p w:rsidR="00C24C07" w:rsidRPr="00AA6B89" w:rsidRDefault="00C24C07" w:rsidP="00C24C07">
      <w:pPr>
        <w:jc w:val="both"/>
        <w:rPr>
          <w:rFonts w:ascii="Times New Roman" w:eastAsia="Times New Roman" w:hAnsi="Times New Roman" w:cs="Times New Roman"/>
          <w:lang w:eastAsia="es-CO"/>
        </w:rPr>
      </w:pPr>
      <w:r w:rsidRPr="00AA6B89">
        <w:rPr>
          <w:rFonts w:ascii="Times New Roman" w:eastAsia="Times New Roman" w:hAnsi="Times New Roman" w:cs="Times New Roman"/>
          <w:lang w:eastAsia="es-CO"/>
        </w:rPr>
        <w:t>C</w:t>
      </w:r>
      <w:r>
        <w:rPr>
          <w:rFonts w:ascii="Times New Roman" w:eastAsia="Times New Roman" w:hAnsi="Times New Roman" w:cs="Times New Roman"/>
          <w:lang w:eastAsia="es-CO"/>
        </w:rPr>
        <w:t>ompra de equipos</w:t>
      </w:r>
      <w:r w:rsidRPr="00AA6B89">
        <w:rPr>
          <w:rFonts w:ascii="Times New Roman" w:eastAsia="Times New Roman" w:hAnsi="Times New Roman" w:cs="Times New Roman"/>
          <w:lang w:eastAsia="es-CO"/>
        </w:rPr>
        <w:t xml:space="preserve">. Dotar de </w:t>
      </w:r>
      <w:r>
        <w:rPr>
          <w:rFonts w:ascii="Times New Roman" w:eastAsia="Times New Roman" w:hAnsi="Times New Roman" w:cs="Times New Roman"/>
          <w:lang w:eastAsia="es-CO"/>
        </w:rPr>
        <w:t xml:space="preserve">computadores </w:t>
      </w:r>
      <w:r w:rsidRPr="00AA6B89">
        <w:rPr>
          <w:rFonts w:ascii="Times New Roman" w:eastAsia="Times New Roman" w:hAnsi="Times New Roman" w:cs="Times New Roman"/>
          <w:lang w:eastAsia="es-CO"/>
        </w:rPr>
        <w:t>a los colegios distritales</w:t>
      </w:r>
      <w:r>
        <w:rPr>
          <w:rFonts w:ascii="Times New Roman" w:eastAsia="Times New Roman" w:hAnsi="Times New Roman" w:cs="Times New Roman"/>
          <w:lang w:eastAsia="es-CO"/>
        </w:rPr>
        <w:t xml:space="preserve"> </w:t>
      </w:r>
      <w:r w:rsidRPr="00AA6B89">
        <w:rPr>
          <w:rFonts w:ascii="Times New Roman" w:eastAsia="Times New Roman" w:hAnsi="Times New Roman" w:cs="Times New Roman"/>
          <w:lang w:eastAsia="es-CO"/>
        </w:rPr>
        <w:t>con el fin de disminuir la obsolescencia tecnológica e incrementar la posibilidad de acceder a nuevos servicios y tecnologías.</w:t>
      </w:r>
    </w:p>
    <w:p w:rsidR="00C24C07" w:rsidRPr="00C24C07" w:rsidRDefault="00C24C07" w:rsidP="00181318">
      <w:pPr>
        <w:jc w:val="both"/>
        <w:rPr>
          <w:rFonts w:ascii="Times New Roman" w:hAnsi="Times New Roman" w:cs="Times New Roman"/>
        </w:rPr>
      </w:pPr>
    </w:p>
    <w:p w:rsidR="00181318" w:rsidRPr="00181318" w:rsidRDefault="00263032" w:rsidP="00181318">
      <w:pPr>
        <w:pStyle w:val="Ttulo3"/>
        <w:rPr>
          <w:rFonts w:ascii="Times New Roman" w:hAnsi="Times New Roman"/>
          <w:i/>
        </w:rPr>
      </w:pPr>
      <w:bookmarkStart w:id="36" w:name="_Toc362358056"/>
      <w:r>
        <w:rPr>
          <w:rFonts w:ascii="Times New Roman" w:hAnsi="Times New Roman"/>
          <w:i/>
        </w:rPr>
        <w:t>3.3.8</w:t>
      </w:r>
      <w:r w:rsidR="00181318">
        <w:rPr>
          <w:rFonts w:ascii="Times New Roman" w:hAnsi="Times New Roman"/>
          <w:i/>
        </w:rPr>
        <w:t xml:space="preserve"> </w:t>
      </w:r>
      <w:r w:rsidR="00181318" w:rsidRPr="00181318">
        <w:rPr>
          <w:rFonts w:ascii="Times New Roman" w:hAnsi="Times New Roman"/>
          <w:i/>
        </w:rPr>
        <w:t>Evaluación integral para la calidad educativa</w:t>
      </w:r>
      <w:bookmarkEnd w:id="36"/>
    </w:p>
    <w:p w:rsidR="00181318" w:rsidRPr="00263032" w:rsidRDefault="00181318" w:rsidP="00181318">
      <w:pPr>
        <w:jc w:val="both"/>
        <w:rPr>
          <w:rFonts w:ascii="Times New Roman" w:hAnsi="Times New Roman" w:cs="Times New Roman"/>
          <w:b/>
        </w:rPr>
      </w:pPr>
    </w:p>
    <w:p w:rsidR="00181318" w:rsidRPr="00F1703A" w:rsidRDefault="00181318" w:rsidP="00181318">
      <w:pPr>
        <w:jc w:val="both"/>
        <w:rPr>
          <w:rFonts w:ascii="Times New Roman" w:hAnsi="Times New Roman" w:cs="Times New Roman"/>
          <w:lang w:val="es-ES"/>
        </w:rPr>
      </w:pPr>
      <w:r w:rsidRPr="00F1703A">
        <w:rPr>
          <w:rFonts w:ascii="Times New Roman" w:hAnsi="Times New Roman" w:cs="Times New Roman"/>
          <w:lang w:val="es-ES"/>
        </w:rPr>
        <w:t xml:space="preserve">La evaluación integral es un proceso dinámico, cíclico y contextualizado, diseñado para la toma de decisiones informadas en busca del mejoramiento continuo. </w:t>
      </w:r>
      <w:r w:rsidRPr="00F1703A">
        <w:rPr>
          <w:rFonts w:ascii="Times New Roman" w:hAnsi="Times New Roman" w:cs="Times New Roman"/>
        </w:rPr>
        <w:t>Permite comparar            resultados de aprendizaje y condiciones iniciales y de contexto, para progresar en la tarea de elevar la calidad del servicio y garantizar una mejor formación para la vida.</w:t>
      </w:r>
    </w:p>
    <w:p w:rsidR="00181318" w:rsidRPr="00F1703A" w:rsidRDefault="00181318" w:rsidP="00181318">
      <w:pPr>
        <w:jc w:val="both"/>
        <w:rPr>
          <w:rFonts w:ascii="Times New Roman" w:hAnsi="Times New Roman" w:cs="Times New Roman"/>
          <w:lang w:val="es-ES"/>
        </w:rPr>
      </w:pPr>
    </w:p>
    <w:p w:rsidR="00181318" w:rsidRPr="00F1703A" w:rsidRDefault="00181318" w:rsidP="00181318">
      <w:pPr>
        <w:jc w:val="both"/>
        <w:rPr>
          <w:rFonts w:ascii="Times New Roman" w:hAnsi="Times New Roman" w:cs="Times New Roman"/>
          <w:b/>
          <w:lang w:val="es-CO"/>
        </w:rPr>
      </w:pPr>
      <w:r w:rsidRPr="00F1703A">
        <w:rPr>
          <w:rFonts w:ascii="Times New Roman" w:hAnsi="Times New Roman" w:cs="Times New Roman"/>
          <w:lang w:val="es-ES"/>
        </w:rPr>
        <w:t xml:space="preserve">El esquema del nuevo Sistema de </w:t>
      </w:r>
      <w:r w:rsidRPr="00F1703A">
        <w:rPr>
          <w:rFonts w:ascii="Times New Roman" w:hAnsi="Times New Roman" w:cs="Times New Roman"/>
          <w:lang w:val="es-CO"/>
        </w:rPr>
        <w:t xml:space="preserve">Evaluación integral para la calidad educativa </w:t>
      </w:r>
      <w:r w:rsidRPr="00F1703A">
        <w:rPr>
          <w:rFonts w:ascii="Times New Roman" w:hAnsi="Times New Roman" w:cs="Times New Roman"/>
          <w:lang w:val="es-ES"/>
        </w:rPr>
        <w:t xml:space="preserve">está conformado por cuatro componentes fundamentales, a saber: </w:t>
      </w:r>
    </w:p>
    <w:p w:rsidR="00181318" w:rsidRPr="00F1703A" w:rsidRDefault="00181318" w:rsidP="00181318">
      <w:pPr>
        <w:jc w:val="both"/>
        <w:rPr>
          <w:rFonts w:ascii="Times New Roman" w:hAnsi="Times New Roman" w:cs="Times New Roman"/>
          <w:lang w:val="es-CO"/>
        </w:rPr>
      </w:pPr>
    </w:p>
    <w:p w:rsidR="00181318" w:rsidRPr="00F1703A" w:rsidRDefault="00181318" w:rsidP="00181318">
      <w:pPr>
        <w:numPr>
          <w:ilvl w:val="0"/>
          <w:numId w:val="18"/>
        </w:numPr>
        <w:jc w:val="both"/>
        <w:rPr>
          <w:rFonts w:ascii="Times New Roman" w:hAnsi="Times New Roman" w:cs="Times New Roman"/>
          <w:lang w:val="es-CO"/>
        </w:rPr>
      </w:pPr>
      <w:r w:rsidRPr="00F1703A">
        <w:rPr>
          <w:rFonts w:ascii="Times New Roman" w:hAnsi="Times New Roman" w:cs="Times New Roman"/>
          <w:lang w:val="es-ES"/>
        </w:rPr>
        <w:t>El contexto</w:t>
      </w:r>
    </w:p>
    <w:p w:rsidR="00181318" w:rsidRPr="00F1703A" w:rsidRDefault="00181318" w:rsidP="00181318">
      <w:pPr>
        <w:numPr>
          <w:ilvl w:val="0"/>
          <w:numId w:val="18"/>
        </w:numPr>
        <w:jc w:val="both"/>
        <w:rPr>
          <w:rFonts w:ascii="Times New Roman" w:hAnsi="Times New Roman" w:cs="Times New Roman"/>
          <w:lang w:val="es-CO"/>
        </w:rPr>
      </w:pPr>
      <w:r w:rsidRPr="00F1703A">
        <w:rPr>
          <w:rFonts w:ascii="Times New Roman" w:hAnsi="Times New Roman" w:cs="Times New Roman"/>
          <w:lang w:val="es-ES"/>
        </w:rPr>
        <w:t xml:space="preserve">El estado de las condiciones iniciales </w:t>
      </w:r>
    </w:p>
    <w:p w:rsidR="00181318" w:rsidRPr="00F1703A" w:rsidRDefault="00181318" w:rsidP="00181318">
      <w:pPr>
        <w:numPr>
          <w:ilvl w:val="0"/>
          <w:numId w:val="18"/>
        </w:numPr>
        <w:jc w:val="both"/>
        <w:rPr>
          <w:rFonts w:ascii="Times New Roman" w:hAnsi="Times New Roman" w:cs="Times New Roman"/>
          <w:lang w:val="es-CO"/>
        </w:rPr>
      </w:pPr>
      <w:r w:rsidRPr="00F1703A">
        <w:rPr>
          <w:rFonts w:ascii="Times New Roman" w:hAnsi="Times New Roman" w:cs="Times New Roman"/>
          <w:lang w:val="es-ES"/>
        </w:rPr>
        <w:t xml:space="preserve">Los planes de mejoramiento </w:t>
      </w:r>
    </w:p>
    <w:p w:rsidR="00181318" w:rsidRPr="00F1703A" w:rsidRDefault="00181318" w:rsidP="00181318">
      <w:pPr>
        <w:numPr>
          <w:ilvl w:val="0"/>
          <w:numId w:val="18"/>
        </w:numPr>
        <w:jc w:val="both"/>
        <w:rPr>
          <w:rFonts w:ascii="Times New Roman" w:hAnsi="Times New Roman" w:cs="Times New Roman"/>
          <w:lang w:val="es-CO"/>
        </w:rPr>
      </w:pPr>
      <w:r w:rsidRPr="00F1703A">
        <w:rPr>
          <w:rFonts w:ascii="Times New Roman" w:hAnsi="Times New Roman" w:cs="Times New Roman"/>
          <w:lang w:val="es-ES"/>
        </w:rPr>
        <w:t>La retroalimentación</w:t>
      </w:r>
    </w:p>
    <w:p w:rsidR="00181318" w:rsidRPr="00F1703A" w:rsidRDefault="00181318" w:rsidP="00181318">
      <w:pPr>
        <w:ind w:left="720"/>
        <w:jc w:val="both"/>
        <w:rPr>
          <w:rFonts w:ascii="Times New Roman" w:hAnsi="Times New Roman" w:cs="Times New Roman"/>
          <w:lang w:val="es-CO"/>
        </w:rPr>
      </w:pPr>
    </w:p>
    <w:p w:rsidR="00181318" w:rsidRPr="00F1703A" w:rsidRDefault="00181318" w:rsidP="00181318">
      <w:pPr>
        <w:jc w:val="both"/>
        <w:rPr>
          <w:rFonts w:ascii="Times New Roman" w:hAnsi="Times New Roman" w:cs="Times New Roman"/>
          <w:lang w:val="es-ES"/>
        </w:rPr>
      </w:pPr>
      <w:r w:rsidRPr="00F1703A">
        <w:rPr>
          <w:rFonts w:ascii="Times New Roman" w:hAnsi="Times New Roman" w:cs="Times New Roman"/>
          <w:lang w:val="es-ES"/>
        </w:rPr>
        <w:t xml:space="preserve">Estos componentes se conectan mediante cuatro relaciones y giran constantemente en torno a los tres ámbitos sobre los cuales se ve reflejado su actuar. La comunidad educativa es el eje central alrededor del cual se propone el conjunto de acciones encaminadas a trabajar en la mejora de la calidad de la educación. </w:t>
      </w:r>
    </w:p>
    <w:p w:rsidR="00181318" w:rsidRPr="00F1703A" w:rsidRDefault="00181318" w:rsidP="00181318">
      <w:pPr>
        <w:jc w:val="both"/>
        <w:rPr>
          <w:rFonts w:ascii="Times New Roman" w:hAnsi="Times New Roman" w:cs="Times New Roman"/>
          <w:lang w:val="es-CO"/>
        </w:rPr>
      </w:pP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CO"/>
        </w:rPr>
        <w:t xml:space="preserve">La evaluación  permite la comparación con referentes nacionales e internacionales y generar reflexiones sobre debilidades y fortalezas. El gran objetivo es integrar las pruebas de conocimiento a la valoración de la formación integral. </w:t>
      </w:r>
    </w:p>
    <w:p w:rsidR="00181318" w:rsidRPr="00F1703A" w:rsidRDefault="00181318" w:rsidP="00181318">
      <w:pPr>
        <w:jc w:val="both"/>
        <w:rPr>
          <w:rFonts w:ascii="Times New Roman" w:hAnsi="Times New Roman" w:cs="Times New Roman"/>
          <w:lang w:val="es-CO"/>
        </w:rPr>
      </w:pPr>
    </w:p>
    <w:p w:rsidR="00181318" w:rsidRDefault="00181318" w:rsidP="00181318">
      <w:pPr>
        <w:jc w:val="both"/>
        <w:rPr>
          <w:rFonts w:ascii="Times New Roman" w:hAnsi="Times New Roman" w:cs="Times New Roman"/>
          <w:lang w:val="es-CO"/>
        </w:rPr>
      </w:pPr>
      <w:r w:rsidRPr="00F1703A">
        <w:rPr>
          <w:rFonts w:ascii="Times New Roman" w:hAnsi="Times New Roman" w:cs="Times New Roman"/>
          <w:lang w:val="es-CO"/>
        </w:rPr>
        <w:t xml:space="preserve">Un proceso de evaluación integral es el punto inicial del  camino hacia la calidad educativa y la equidad en la educación. Para este proceso es esencial lograr un </w:t>
      </w:r>
      <w:r w:rsidRPr="00F1703A">
        <w:rPr>
          <w:rFonts w:ascii="Times New Roman" w:hAnsi="Times New Roman" w:cs="Times New Roman"/>
          <w:bCs/>
          <w:lang w:val="es-CO"/>
        </w:rPr>
        <w:t xml:space="preserve">diagnóstico propio </w:t>
      </w:r>
      <w:r w:rsidRPr="00F1703A">
        <w:rPr>
          <w:rFonts w:ascii="Times New Roman" w:hAnsi="Times New Roman" w:cs="Times New Roman"/>
          <w:lang w:val="es-CO"/>
        </w:rPr>
        <w:t xml:space="preserve">desde cada institución y  </w:t>
      </w:r>
      <w:r w:rsidRPr="00F1703A">
        <w:rPr>
          <w:rFonts w:ascii="Times New Roman" w:hAnsi="Times New Roman" w:cs="Times New Roman"/>
          <w:bCs/>
          <w:lang w:val="es-CO"/>
        </w:rPr>
        <w:t>estrategias de mejoramiento</w:t>
      </w:r>
      <w:r w:rsidRPr="00F1703A">
        <w:rPr>
          <w:rFonts w:ascii="Times New Roman" w:hAnsi="Times New Roman" w:cs="Times New Roman"/>
          <w:b/>
          <w:bCs/>
          <w:lang w:val="es-CO"/>
        </w:rPr>
        <w:t xml:space="preserve"> </w:t>
      </w:r>
      <w:r w:rsidRPr="00F1703A">
        <w:rPr>
          <w:rFonts w:ascii="Times New Roman" w:hAnsi="Times New Roman" w:cs="Times New Roman"/>
          <w:lang w:val="es-CO"/>
        </w:rPr>
        <w:t>concertadas entre todos los miembros de la comunidad educativa: Directivos, Docentes, Estudiantes y Padres de Familia.</w:t>
      </w:r>
    </w:p>
    <w:p w:rsidR="006F68E2" w:rsidRDefault="006F68E2" w:rsidP="006F68E2">
      <w:pPr>
        <w:autoSpaceDE w:val="0"/>
        <w:autoSpaceDN w:val="0"/>
        <w:adjustRightInd w:val="0"/>
        <w:jc w:val="both"/>
        <w:rPr>
          <w:rFonts w:ascii="Times New Roman" w:hAnsi="Times New Roman" w:cs="Times New Roman"/>
        </w:rPr>
      </w:pPr>
    </w:p>
    <w:p w:rsidR="006F68E2" w:rsidRPr="00666BB4" w:rsidRDefault="006F68E2" w:rsidP="006F68E2">
      <w:pPr>
        <w:pStyle w:val="Ttulo3"/>
        <w:rPr>
          <w:rFonts w:ascii="Times New Roman" w:hAnsi="Times New Roman"/>
          <w:i/>
        </w:rPr>
      </w:pPr>
      <w:bookmarkStart w:id="37" w:name="_Toc221163702"/>
      <w:bookmarkStart w:id="38" w:name="_Toc362358057"/>
      <w:r>
        <w:rPr>
          <w:rFonts w:ascii="Times New Roman" w:hAnsi="Times New Roman"/>
          <w:i/>
        </w:rPr>
        <w:t>3.3</w:t>
      </w:r>
      <w:r w:rsidRPr="00666BB4">
        <w:rPr>
          <w:rFonts w:ascii="Times New Roman" w:hAnsi="Times New Roman"/>
          <w:i/>
        </w:rPr>
        <w:t>.9. Mejor gestión</w:t>
      </w:r>
      <w:bookmarkEnd w:id="37"/>
      <w:bookmarkEnd w:id="38"/>
    </w:p>
    <w:p w:rsidR="006F68E2" w:rsidRDefault="006F68E2" w:rsidP="00181318">
      <w:pPr>
        <w:jc w:val="both"/>
        <w:rPr>
          <w:rFonts w:ascii="Times New Roman" w:hAnsi="Times New Roman" w:cs="Times New Roman"/>
          <w:lang w:val="es-CO"/>
        </w:rPr>
      </w:pPr>
    </w:p>
    <w:p w:rsidR="006F68E2" w:rsidRPr="00274E59" w:rsidRDefault="006F68E2" w:rsidP="006F68E2">
      <w:pPr>
        <w:jc w:val="both"/>
        <w:rPr>
          <w:rFonts w:ascii="Times New Roman" w:hAnsi="Times New Roman"/>
        </w:rPr>
      </w:pPr>
      <w:r w:rsidRPr="00D30534">
        <w:rPr>
          <w:rFonts w:ascii="Times New Roman" w:hAnsi="Times New Roman"/>
        </w:rPr>
        <w:t>El cumplimiento de las metas de impacto y producto del plan de desarrollo depende en buena medida del mejoramiento y fortalecimiento de aspectos críticos de la gestión de la Secretaría. El objetivo general es transformar el modelo de gestión y operación de la SED en los niveles central, local</w:t>
      </w:r>
      <w:r>
        <w:rPr>
          <w:rFonts w:ascii="Times New Roman" w:hAnsi="Times New Roman"/>
        </w:rPr>
        <w:t>, zonal</w:t>
      </w:r>
      <w:r w:rsidRPr="00D30534">
        <w:rPr>
          <w:rFonts w:ascii="Times New Roman" w:hAnsi="Times New Roman"/>
        </w:rPr>
        <w:t xml:space="preserve"> e institucional, con el fin de mejorar la gestión en términos de eficiencia, eficacia y transparencia para contribuir a asegurar la prestación del servicio educativo con altos niveles de calidad. Los objetivos específicos son: 1) Fortalecer </w:t>
      </w:r>
      <w:r w:rsidRPr="00D30534">
        <w:rPr>
          <w:rFonts w:ascii="Times New Roman" w:hAnsi="Times New Roman"/>
        </w:rPr>
        <w:lastRenderedPageBreak/>
        <w:t>las condiciones de prestación del servicio en las instituciones educativas mediante un nuevo modelo de gestión que implica el rediseño de la cadena de valor, los procesos, procedimientos y la estructura organizacional, incorporando mejores prácticas que promuevan la eficiencia y la eficacia en la operación; 2. Asegurar las condiciones de cultura organizacional, gestión por competencias y bienestar del personal de la SED en concordancia con la transformación del modelo de gestión propuesto; 3. Identificar, diseñar, adquirir e implementar los sistemas de información  integrados que fortalezcan la gestión académico administrativa de la SED en todos sus niveles; 4. Asegurar las condiciones físicas de trabajo adecuadas para el personal administrativo de la SED; 5. Fortalecer las condiciones institucionales y culturales que favorezcan una gestión pública transparente en la SED.</w:t>
      </w:r>
      <w:r>
        <w:rPr>
          <w:rFonts w:ascii="Times New Roman" w:hAnsi="Times New Roman"/>
        </w:rPr>
        <w:t xml:space="preserve"> Para lograr estos objetivos se realizarán las siguientes actividades: </w:t>
      </w:r>
      <w:r w:rsidRPr="00D30534">
        <w:rPr>
          <w:rFonts w:ascii="Times New Roman" w:hAnsi="Times New Roman"/>
        </w:rPr>
        <w:tab/>
      </w:r>
    </w:p>
    <w:p w:rsidR="006F68E2" w:rsidRPr="00274E59" w:rsidRDefault="006F68E2" w:rsidP="006F68E2">
      <w:pPr>
        <w:jc w:val="both"/>
        <w:rPr>
          <w:rFonts w:ascii="Times New Roman" w:hAnsi="Times New Roman"/>
        </w:rPr>
      </w:pPr>
      <w:r>
        <w:rPr>
          <w:rFonts w:ascii="Times New Roman" w:hAnsi="Times New Roman"/>
        </w:rPr>
        <w:t xml:space="preserve">Desconcentración. </w:t>
      </w:r>
      <w:r w:rsidRPr="00274E59">
        <w:rPr>
          <w:rFonts w:ascii="Times New Roman" w:hAnsi="Times New Roman"/>
        </w:rPr>
        <w:t>Una primera línea de acción consistirá en el diseño del modelo de gestión con un énfasis en la desconcentración del nivel central con la finalidad de otorgar mayor capacidad de gestión a las instituciones</w:t>
      </w:r>
      <w:r>
        <w:rPr>
          <w:rFonts w:ascii="Times New Roman" w:hAnsi="Times New Roman"/>
        </w:rPr>
        <w:t>, a coordinadores zonales</w:t>
      </w:r>
      <w:r w:rsidRPr="00274E59">
        <w:rPr>
          <w:rFonts w:ascii="Times New Roman" w:hAnsi="Times New Roman"/>
        </w:rPr>
        <w:t xml:space="preserve"> y a las direcciones locales</w:t>
      </w:r>
      <w:r>
        <w:rPr>
          <w:rFonts w:ascii="Times New Roman" w:hAnsi="Times New Roman"/>
        </w:rPr>
        <w:t>,</w:t>
      </w:r>
      <w:r w:rsidRPr="00274E59">
        <w:rPr>
          <w:rFonts w:ascii="Times New Roman" w:hAnsi="Times New Roman"/>
        </w:rPr>
        <w:t xml:space="preserve"> de manera tal que mejore la eficiencia y agilidad en la prestación del servicio, descargando al nivel central. Esta línea comprende acciones como la revisión de la estructura, el levantamiento de cargas de trabajo y la actualización de los manuales de funciones y el mejoramiento de la articulación de las cadenas de valor y los mapas de procesos y procedimientos.</w:t>
      </w:r>
    </w:p>
    <w:p w:rsidR="006F68E2" w:rsidRPr="00274E59" w:rsidRDefault="006F68E2" w:rsidP="006F68E2">
      <w:pPr>
        <w:jc w:val="both"/>
        <w:rPr>
          <w:rFonts w:ascii="Times New Roman" w:hAnsi="Times New Roman"/>
        </w:rPr>
      </w:pPr>
    </w:p>
    <w:p w:rsidR="006F68E2" w:rsidRPr="00274E59" w:rsidRDefault="006F68E2" w:rsidP="006F68E2">
      <w:pPr>
        <w:jc w:val="both"/>
        <w:rPr>
          <w:rFonts w:ascii="Times New Roman" w:hAnsi="Times New Roman"/>
        </w:rPr>
      </w:pPr>
      <w:r>
        <w:rPr>
          <w:rFonts w:ascii="Times New Roman" w:hAnsi="Times New Roman"/>
        </w:rPr>
        <w:t xml:space="preserve">Clima organizacional. </w:t>
      </w:r>
      <w:r w:rsidRPr="00274E59">
        <w:rPr>
          <w:rFonts w:ascii="Times New Roman" w:hAnsi="Times New Roman"/>
        </w:rPr>
        <w:t>En mate</w:t>
      </w:r>
      <w:r>
        <w:rPr>
          <w:rFonts w:ascii="Times New Roman" w:hAnsi="Times New Roman"/>
        </w:rPr>
        <w:t xml:space="preserve">ria de clima organizacional </w:t>
      </w:r>
      <w:r w:rsidRPr="00274E59">
        <w:rPr>
          <w:rFonts w:ascii="Times New Roman" w:hAnsi="Times New Roman"/>
        </w:rPr>
        <w:t>con base en la medición de la situación y el diagnóstico de las necesidades de bienestar se concentrará en el diseño y puesta en marcha de un modelo de gestión del talento humano.</w:t>
      </w:r>
    </w:p>
    <w:p w:rsidR="006F68E2" w:rsidRPr="00274E59" w:rsidRDefault="006F68E2" w:rsidP="006F68E2">
      <w:pPr>
        <w:jc w:val="both"/>
        <w:rPr>
          <w:rFonts w:ascii="Times New Roman" w:hAnsi="Times New Roman"/>
          <w:color w:val="000000"/>
        </w:rPr>
      </w:pPr>
    </w:p>
    <w:p w:rsidR="006F68E2" w:rsidRPr="00274E59" w:rsidRDefault="006F68E2" w:rsidP="006F68E2">
      <w:pPr>
        <w:jc w:val="both"/>
        <w:rPr>
          <w:rFonts w:ascii="Times New Roman" w:hAnsi="Times New Roman"/>
          <w:color w:val="000000"/>
        </w:rPr>
      </w:pPr>
      <w:r>
        <w:rPr>
          <w:rFonts w:ascii="Times New Roman" w:hAnsi="Times New Roman"/>
          <w:color w:val="000000"/>
        </w:rPr>
        <w:t>Sistemas de información. A</w:t>
      </w:r>
      <w:r w:rsidRPr="00274E59">
        <w:rPr>
          <w:rFonts w:ascii="Times New Roman" w:hAnsi="Times New Roman"/>
          <w:color w:val="000000"/>
        </w:rPr>
        <w:t xml:space="preserve"> partir de un balance de la situación de los sistemas de información se avanzará en la integración de los distintos sistemas de forma tal que se conviertan en herramientas eficaces para la toma de decisiones, seguimiento y evaluación de la gestión de la Secretaría.</w:t>
      </w:r>
    </w:p>
    <w:p w:rsidR="006F68E2" w:rsidRPr="00274E59" w:rsidRDefault="006F68E2" w:rsidP="006F68E2">
      <w:pPr>
        <w:jc w:val="both"/>
        <w:rPr>
          <w:rFonts w:ascii="Times New Roman" w:hAnsi="Times New Roman"/>
          <w:color w:val="000000"/>
        </w:rPr>
      </w:pPr>
    </w:p>
    <w:p w:rsidR="006F68E2" w:rsidRPr="00274E59" w:rsidRDefault="006F68E2" w:rsidP="006F68E2">
      <w:pPr>
        <w:jc w:val="both"/>
        <w:rPr>
          <w:rFonts w:ascii="Times New Roman" w:hAnsi="Times New Roman"/>
        </w:rPr>
      </w:pPr>
      <w:r>
        <w:rPr>
          <w:rFonts w:ascii="Times New Roman" w:hAnsi="Times New Roman"/>
        </w:rPr>
        <w:t xml:space="preserve">Planta física. </w:t>
      </w:r>
      <w:r w:rsidRPr="00274E59">
        <w:rPr>
          <w:rFonts w:ascii="Times New Roman" w:hAnsi="Times New Roman"/>
        </w:rPr>
        <w:t>Se realizarán las ampliaciones y adecuaciones requeridas para mejorar la situación de los espacios físicos de trabajo, tanto en la sede central como en las locales.</w:t>
      </w:r>
    </w:p>
    <w:p w:rsidR="006F68E2" w:rsidRPr="00274E59" w:rsidRDefault="006F68E2" w:rsidP="006F68E2">
      <w:pPr>
        <w:jc w:val="both"/>
        <w:rPr>
          <w:rFonts w:ascii="Times New Roman" w:hAnsi="Times New Roman"/>
        </w:rPr>
      </w:pPr>
    </w:p>
    <w:p w:rsidR="006F68E2" w:rsidRPr="00274E59" w:rsidRDefault="006F68E2" w:rsidP="006F68E2">
      <w:pPr>
        <w:jc w:val="both"/>
        <w:rPr>
          <w:rFonts w:ascii="Times New Roman" w:hAnsi="Times New Roman"/>
        </w:rPr>
      </w:pPr>
      <w:r>
        <w:rPr>
          <w:rFonts w:ascii="Times New Roman" w:hAnsi="Times New Roman"/>
        </w:rPr>
        <w:t xml:space="preserve">Lucha contra la corrupción y transparencia. </w:t>
      </w:r>
      <w:r w:rsidRPr="00274E59">
        <w:rPr>
          <w:rFonts w:ascii="Times New Roman" w:hAnsi="Times New Roman"/>
        </w:rPr>
        <w:t>En materia de transparencia se elaborarán los mapas de riesgo y se pondrá en marcha una estrategia de lucha contra la corrupción y de transparencia, articulada con los lineamientos de la Veeduría Distrital.</w:t>
      </w:r>
    </w:p>
    <w:p w:rsidR="006F68E2" w:rsidRPr="006F68E2" w:rsidRDefault="006F68E2" w:rsidP="00181318">
      <w:pPr>
        <w:jc w:val="both"/>
        <w:rPr>
          <w:rFonts w:ascii="Times New Roman" w:hAnsi="Times New Roman" w:cs="Times New Roman"/>
        </w:rPr>
      </w:pPr>
    </w:p>
    <w:p w:rsidR="00181318" w:rsidRPr="00181318" w:rsidRDefault="00DD6422" w:rsidP="00181318">
      <w:pPr>
        <w:pStyle w:val="Ttulo3"/>
        <w:rPr>
          <w:rFonts w:ascii="Times New Roman" w:hAnsi="Times New Roman"/>
          <w:i/>
        </w:rPr>
      </w:pPr>
      <w:bookmarkStart w:id="39" w:name="_Toc362358058"/>
      <w:r>
        <w:rPr>
          <w:rFonts w:ascii="Times New Roman" w:hAnsi="Times New Roman"/>
          <w:i/>
        </w:rPr>
        <w:t>3.3.10</w:t>
      </w:r>
      <w:r w:rsidR="00181318">
        <w:rPr>
          <w:rFonts w:ascii="Times New Roman" w:hAnsi="Times New Roman"/>
          <w:i/>
        </w:rPr>
        <w:t xml:space="preserve"> </w:t>
      </w:r>
      <w:r w:rsidR="00181318" w:rsidRPr="00181318">
        <w:rPr>
          <w:rFonts w:ascii="Times New Roman" w:hAnsi="Times New Roman"/>
          <w:i/>
        </w:rPr>
        <w:t>Hábitat escolar</w:t>
      </w:r>
      <w:bookmarkEnd w:id="39"/>
      <w:r w:rsidR="00181318" w:rsidRPr="00181318">
        <w:rPr>
          <w:rFonts w:ascii="Times New Roman" w:hAnsi="Times New Roman"/>
          <w:i/>
        </w:rPr>
        <w:t xml:space="preserve"> </w:t>
      </w:r>
    </w:p>
    <w:p w:rsidR="00181318" w:rsidRPr="00F1703A" w:rsidRDefault="00181318" w:rsidP="00181318">
      <w:pPr>
        <w:jc w:val="both"/>
        <w:rPr>
          <w:rFonts w:ascii="Times New Roman" w:hAnsi="Times New Roman" w:cs="Times New Roman"/>
          <w:b/>
          <w:lang w:val="es-ES"/>
        </w:rPr>
      </w:pPr>
    </w:p>
    <w:p w:rsidR="00181318" w:rsidRPr="00F1703A" w:rsidRDefault="00181318" w:rsidP="00181318">
      <w:pPr>
        <w:widowControl w:val="0"/>
        <w:tabs>
          <w:tab w:val="left" w:pos="2124"/>
          <w:tab w:val="left" w:pos="3540"/>
          <w:tab w:val="left" w:pos="4248"/>
          <w:tab w:val="center" w:pos="4419"/>
          <w:tab w:val="left" w:pos="4956"/>
          <w:tab w:val="left" w:pos="6372"/>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 xml:space="preserve">Los colegios son sitios de encuentro en donde las niñas, niños y jóvenes comparten mucho más que horas de clase. Son su espacio habitual para crecer y formarse aprendiendo a vivir y a pensar. Por esto la Secretaría de Educación del Distrito busca construir, dotar y conservar espacios dignos de convivencia que ofrezca las mejores condiciones para una verdadera educación de calidad. </w:t>
      </w:r>
    </w:p>
    <w:p w:rsidR="00181318" w:rsidRPr="00F1703A" w:rsidRDefault="00181318" w:rsidP="00181318">
      <w:pPr>
        <w:widowControl w:val="0"/>
        <w:tabs>
          <w:tab w:val="left" w:pos="2124"/>
          <w:tab w:val="left" w:pos="3540"/>
          <w:tab w:val="left" w:pos="4248"/>
          <w:tab w:val="center" w:pos="4419"/>
          <w:tab w:val="left" w:pos="4956"/>
          <w:tab w:val="left" w:pos="6372"/>
        </w:tabs>
        <w:autoSpaceDE w:val="0"/>
        <w:autoSpaceDN w:val="0"/>
        <w:adjustRightInd w:val="0"/>
        <w:jc w:val="both"/>
        <w:rPr>
          <w:rFonts w:ascii="Times New Roman" w:hAnsi="Times New Roman" w:cs="Times New Roman"/>
          <w:lang w:val="es-ES"/>
        </w:rPr>
      </w:pPr>
    </w:p>
    <w:p w:rsidR="00181318" w:rsidRPr="00F1703A" w:rsidRDefault="00181318" w:rsidP="00181318">
      <w:pPr>
        <w:widowControl w:val="0"/>
        <w:tabs>
          <w:tab w:val="left" w:pos="2124"/>
          <w:tab w:val="left" w:pos="3540"/>
          <w:tab w:val="left" w:pos="4248"/>
          <w:tab w:val="center" w:pos="4419"/>
          <w:tab w:val="left" w:pos="4956"/>
          <w:tab w:val="left" w:pos="6372"/>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lastRenderedPageBreak/>
        <w:t>El hábitat escolar reúne las condiciones adecuadas en términos de edificación, prestación de servicios, óptimo mantenimiento y dotaciones, que garantizan el entorno ideal para desarrollar activid</w:t>
      </w:r>
      <w:r w:rsidR="00294766">
        <w:rPr>
          <w:rFonts w:ascii="Times New Roman" w:hAnsi="Times New Roman" w:cs="Times New Roman"/>
          <w:lang w:val="es-ES"/>
        </w:rPr>
        <w:t>ades pedagógicas. La Bogotá Humana cree</w:t>
      </w:r>
      <w:r w:rsidRPr="00F1703A">
        <w:rPr>
          <w:rFonts w:ascii="Times New Roman" w:hAnsi="Times New Roman" w:cs="Times New Roman"/>
          <w:lang w:val="es-ES"/>
        </w:rPr>
        <w:t xml:space="preserve"> que un espacio en condiciones óptimas de habitabilidad, es parte de las herramientas necesarias para lograr una educación de calidad. Por eso </w:t>
      </w:r>
      <w:r w:rsidR="00801B4A">
        <w:rPr>
          <w:rFonts w:ascii="Times New Roman" w:hAnsi="Times New Roman" w:cs="Times New Roman"/>
          <w:lang w:val="es-ES"/>
        </w:rPr>
        <w:t>invierte</w:t>
      </w:r>
      <w:r w:rsidRPr="00F1703A">
        <w:rPr>
          <w:rFonts w:ascii="Times New Roman" w:hAnsi="Times New Roman" w:cs="Times New Roman"/>
          <w:lang w:val="es-ES"/>
        </w:rPr>
        <w:t xml:space="preserve"> en el mejoramiento de la infraestructura y la dotación actual, con el fin de propiciar espacios adecuados para la construcción de saberes y la ampliación de la cobertura. </w:t>
      </w:r>
    </w:p>
    <w:p w:rsidR="00181318" w:rsidRPr="00F1703A" w:rsidRDefault="00181318" w:rsidP="00181318">
      <w:pPr>
        <w:jc w:val="both"/>
        <w:rPr>
          <w:rFonts w:ascii="Times New Roman" w:hAnsi="Times New Roman" w:cs="Times New Roman"/>
          <w:b/>
          <w:lang w:val="es-ES"/>
        </w:rPr>
      </w:pPr>
    </w:p>
    <w:p w:rsidR="00181318" w:rsidRPr="00F1703A" w:rsidRDefault="00181318" w:rsidP="00181318">
      <w:pPr>
        <w:jc w:val="both"/>
        <w:rPr>
          <w:rFonts w:ascii="Times New Roman" w:hAnsi="Times New Roman" w:cs="Times New Roman"/>
          <w:u w:val="single"/>
          <w:lang w:val="es-ES"/>
        </w:rPr>
      </w:pPr>
      <w:r w:rsidRPr="00F1703A">
        <w:rPr>
          <w:rFonts w:ascii="Times New Roman" w:hAnsi="Times New Roman" w:cs="Times New Roman"/>
          <w:u w:val="single"/>
          <w:lang w:val="es-ES"/>
        </w:rPr>
        <w:t>Metas</w:t>
      </w:r>
    </w:p>
    <w:p w:rsidR="00181318" w:rsidRPr="00F1703A" w:rsidRDefault="00181318" w:rsidP="00181318">
      <w:pPr>
        <w:jc w:val="both"/>
        <w:rPr>
          <w:rFonts w:ascii="Times New Roman" w:hAnsi="Times New Roman" w:cs="Times New Roman"/>
          <w:u w:val="single"/>
          <w:lang w:val="es-ES"/>
        </w:rPr>
      </w:pP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Mejorar el entorno de 87.652 niños, niñas y jóvenes de la ciudad, mediante la construcción de 56 colegios nuevos en lotes existentes.</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Atender cerca de 40.000 estudiantes en educación básica y media con la construcción de 30 colegios nuevos en predios nuevos.</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Generar ambientes escolares que faciliten el aprendizaje de un segundo idioma.</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Dotas a todos los colegios con los elementos requeridos para un Hábitat Escolar con ambientes pedagógicos adecuados.</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 xml:space="preserve">Mejorar las condiciones para el acceso y la permanencia de un millón de niñas, niños </w:t>
      </w:r>
      <w:r w:rsidR="00632A3F">
        <w:rPr>
          <w:lang w:val="es-ES"/>
        </w:rPr>
        <w:t>jóven</w:t>
      </w:r>
      <w:r w:rsidRPr="00F1703A">
        <w:rPr>
          <w:lang w:val="es-ES"/>
        </w:rPr>
        <w:t>es matriculados desde pre jardín hasta grado 12.</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 xml:space="preserve">Alcanzar 60.000 nuevos cupos para niños y niñas entre 3 y 5 años mediante la construcción de 190 jardines. </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 xml:space="preserve">Terminar 39 colegios inconclusos que albergan 72.044 niñas, niños y jóvenes. </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 xml:space="preserve">Ampliar la capacidad instalada para el servicio de comidas calientes, en 200.600 raciones diarias mediante la habilitación de 75 nuevos comedores escolares. </w:t>
      </w:r>
    </w:p>
    <w:p w:rsidR="00181318" w:rsidRPr="00F1703A" w:rsidRDefault="00181318" w:rsidP="00181318">
      <w:pPr>
        <w:widowControl w:val="0"/>
        <w:tabs>
          <w:tab w:val="left" w:pos="2124"/>
          <w:tab w:val="left" w:pos="3540"/>
          <w:tab w:val="left" w:pos="4248"/>
          <w:tab w:val="center" w:pos="4419"/>
          <w:tab w:val="left" w:pos="4956"/>
          <w:tab w:val="left" w:pos="6372"/>
        </w:tabs>
        <w:autoSpaceDE w:val="0"/>
        <w:autoSpaceDN w:val="0"/>
        <w:adjustRightInd w:val="0"/>
        <w:jc w:val="both"/>
        <w:rPr>
          <w:rFonts w:ascii="Times New Roman" w:hAnsi="Times New Roman" w:cs="Times New Roman"/>
          <w:lang w:val="es-ES"/>
        </w:rPr>
      </w:pPr>
    </w:p>
    <w:p w:rsidR="00181318" w:rsidRPr="00F1703A" w:rsidRDefault="00181318" w:rsidP="00181318">
      <w:pPr>
        <w:widowControl w:val="0"/>
        <w:tabs>
          <w:tab w:val="left" w:pos="2124"/>
          <w:tab w:val="left" w:pos="3540"/>
          <w:tab w:val="left" w:pos="4248"/>
          <w:tab w:val="center" w:pos="4419"/>
          <w:tab w:val="left" w:pos="4956"/>
          <w:tab w:val="left" w:pos="6372"/>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 xml:space="preserve">Para cumplir con estas metas la SED se compromete a: </w:t>
      </w:r>
    </w:p>
    <w:p w:rsidR="00181318" w:rsidRPr="00F1703A" w:rsidRDefault="00181318" w:rsidP="00181318">
      <w:pPr>
        <w:widowControl w:val="0"/>
        <w:tabs>
          <w:tab w:val="left" w:pos="2124"/>
          <w:tab w:val="left" w:pos="3540"/>
          <w:tab w:val="left" w:pos="4248"/>
          <w:tab w:val="center" w:pos="4419"/>
          <w:tab w:val="left" w:pos="4956"/>
          <w:tab w:val="left" w:pos="6372"/>
        </w:tabs>
        <w:autoSpaceDE w:val="0"/>
        <w:autoSpaceDN w:val="0"/>
        <w:adjustRightInd w:val="0"/>
        <w:jc w:val="both"/>
        <w:rPr>
          <w:rFonts w:ascii="Times New Roman" w:hAnsi="Times New Roman" w:cs="Times New Roman"/>
          <w:lang w:val="es-ES"/>
        </w:rPr>
      </w:pPr>
    </w:p>
    <w:p w:rsidR="00771DA8"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771DA8">
        <w:rPr>
          <w:lang w:val="es-ES"/>
        </w:rPr>
        <w:t>Integrar la entrega de la dotación escolar en los colegios, a un ejercicio de apro</w:t>
      </w:r>
      <w:r w:rsidR="00771DA8">
        <w:rPr>
          <w:lang w:val="es-ES"/>
        </w:rPr>
        <w:t>bación y aprecio por lo público.</w:t>
      </w:r>
    </w:p>
    <w:p w:rsidR="00181318" w:rsidRPr="00771DA8"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771DA8">
        <w:rPr>
          <w:lang w:val="es-ES"/>
        </w:rPr>
        <w:t>Impulsar el diálogo con las comunidades educativas, para conocer sus preocupaciones y priorizar la inversión.</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 xml:space="preserve">Promover </w:t>
      </w:r>
      <w:r w:rsidR="00771DA8">
        <w:rPr>
          <w:lang w:val="es-ES"/>
        </w:rPr>
        <w:t>un cambio de conciencia hacia el</w:t>
      </w:r>
      <w:r w:rsidRPr="00F1703A">
        <w:rPr>
          <w:lang w:val="es-ES"/>
        </w:rPr>
        <w:t xml:space="preserve"> mejor uso y cuidado de la infraestructura y la dotación de </w:t>
      </w:r>
      <w:r w:rsidR="00771DA8">
        <w:rPr>
          <w:lang w:val="es-ES"/>
        </w:rPr>
        <w:t>los</w:t>
      </w:r>
      <w:r w:rsidRPr="00F1703A">
        <w:rPr>
          <w:lang w:val="es-ES"/>
        </w:rPr>
        <w:t xml:space="preserve"> colegios. </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Afianzar los procesos de transparencia en la contratación y ejecución de los recursos públicos, mediante el fortalecimiento de herramientas públicas de seguimiento y control.</w:t>
      </w:r>
    </w:p>
    <w:p w:rsidR="00181318" w:rsidRPr="00F1703A" w:rsidRDefault="0018131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sidRPr="00F1703A">
        <w:rPr>
          <w:lang w:val="es-ES"/>
        </w:rPr>
        <w:t>Recuperar la confianza de la ciudadanía en la capacidad de ejecución de lo público.</w:t>
      </w:r>
    </w:p>
    <w:p w:rsidR="00181318" w:rsidRPr="00F1703A" w:rsidRDefault="00771DA8" w:rsidP="00181318">
      <w:pPr>
        <w:pStyle w:val="Prrafodelista"/>
        <w:widowControl w:val="0"/>
        <w:numPr>
          <w:ilvl w:val="0"/>
          <w:numId w:val="19"/>
        </w:numPr>
        <w:tabs>
          <w:tab w:val="left" w:pos="2124"/>
          <w:tab w:val="left" w:pos="3540"/>
          <w:tab w:val="left" w:pos="4248"/>
          <w:tab w:val="center" w:pos="4419"/>
          <w:tab w:val="left" w:pos="4956"/>
          <w:tab w:val="left" w:pos="6372"/>
        </w:tabs>
        <w:autoSpaceDE w:val="0"/>
        <w:autoSpaceDN w:val="0"/>
        <w:adjustRightInd w:val="0"/>
        <w:jc w:val="both"/>
        <w:rPr>
          <w:lang w:val="es-ES"/>
        </w:rPr>
      </w:pPr>
      <w:r>
        <w:rPr>
          <w:lang w:val="es-ES"/>
        </w:rPr>
        <w:t xml:space="preserve">Propiciar </w:t>
      </w:r>
      <w:r w:rsidR="00181318" w:rsidRPr="00F1703A">
        <w:rPr>
          <w:lang w:val="es-ES"/>
        </w:rPr>
        <w:t>lugares únicos para convi</w:t>
      </w:r>
      <w:r>
        <w:rPr>
          <w:lang w:val="es-ES"/>
        </w:rPr>
        <w:t>vir y aprender. El colegio es la casa, el</w:t>
      </w:r>
      <w:r w:rsidR="00181318" w:rsidRPr="00F1703A">
        <w:rPr>
          <w:lang w:val="es-ES"/>
        </w:rPr>
        <w:t xml:space="preserve"> hogar, el lugar donde </w:t>
      </w:r>
      <w:r>
        <w:rPr>
          <w:lang w:val="es-ES"/>
        </w:rPr>
        <w:t>los estudiantes pasan</w:t>
      </w:r>
      <w:r w:rsidR="00181318" w:rsidRPr="00F1703A">
        <w:rPr>
          <w:lang w:val="es-ES"/>
        </w:rPr>
        <w:t xml:space="preserve"> la ma</w:t>
      </w:r>
      <w:r>
        <w:rPr>
          <w:lang w:val="es-ES"/>
        </w:rPr>
        <w:t>yoría del tiempo y en el que van</w:t>
      </w:r>
      <w:r w:rsidR="00181318" w:rsidRPr="00F1703A">
        <w:rPr>
          <w:lang w:val="es-ES"/>
        </w:rPr>
        <w:t xml:space="preserve"> a vivir</w:t>
      </w:r>
      <w:r>
        <w:rPr>
          <w:lang w:val="es-ES"/>
        </w:rPr>
        <w:t xml:space="preserve"> momentos que siempre recordarán</w:t>
      </w:r>
      <w:r w:rsidR="00181318" w:rsidRPr="00F1703A">
        <w:rPr>
          <w:lang w:val="es-ES"/>
        </w:rPr>
        <w:t xml:space="preserve">. Entre todos, debemos hacer de este, el espacio ideal para lograr una educación de calidad. </w:t>
      </w:r>
    </w:p>
    <w:p w:rsidR="00181318" w:rsidRPr="00F1703A" w:rsidRDefault="00181318" w:rsidP="00181318">
      <w:pPr>
        <w:widowControl w:val="0"/>
        <w:tabs>
          <w:tab w:val="left" w:pos="2124"/>
          <w:tab w:val="left" w:pos="3540"/>
          <w:tab w:val="left" w:pos="4248"/>
          <w:tab w:val="center" w:pos="4419"/>
          <w:tab w:val="left" w:pos="4956"/>
          <w:tab w:val="left" w:pos="6372"/>
        </w:tabs>
        <w:autoSpaceDE w:val="0"/>
        <w:autoSpaceDN w:val="0"/>
        <w:adjustRightInd w:val="0"/>
        <w:jc w:val="both"/>
        <w:rPr>
          <w:rFonts w:ascii="Times New Roman" w:hAnsi="Times New Roman" w:cs="Times New Roman"/>
          <w:lang w:val="es-ES"/>
        </w:rPr>
      </w:pPr>
    </w:p>
    <w:p w:rsidR="00181318" w:rsidRPr="00F1703A" w:rsidRDefault="00181318" w:rsidP="00181318">
      <w:pPr>
        <w:widowControl w:val="0"/>
        <w:tabs>
          <w:tab w:val="left" w:pos="2124"/>
          <w:tab w:val="left" w:pos="3540"/>
          <w:tab w:val="left" w:pos="4248"/>
          <w:tab w:val="center" w:pos="4419"/>
          <w:tab w:val="left" w:pos="4956"/>
          <w:tab w:val="left" w:pos="6372"/>
        </w:tabs>
        <w:autoSpaceDE w:val="0"/>
        <w:autoSpaceDN w:val="0"/>
        <w:adjustRightInd w:val="0"/>
        <w:jc w:val="both"/>
        <w:rPr>
          <w:rFonts w:ascii="Times New Roman" w:hAnsi="Times New Roman" w:cs="Times New Roman"/>
          <w:lang w:val="es-ES"/>
        </w:rPr>
      </w:pPr>
      <w:r w:rsidRPr="00F1703A">
        <w:rPr>
          <w:rFonts w:ascii="Times New Roman" w:hAnsi="Times New Roman" w:cs="Times New Roman"/>
          <w:lang w:val="es-ES"/>
        </w:rPr>
        <w:t xml:space="preserve">El Plan de Desarrollo Distrital  contempla </w:t>
      </w:r>
      <w:r w:rsidR="00024133">
        <w:rPr>
          <w:rFonts w:ascii="Times New Roman" w:hAnsi="Times New Roman" w:cs="Times New Roman"/>
          <w:lang w:val="es-ES"/>
        </w:rPr>
        <w:t>las siguientes intervenciones</w:t>
      </w:r>
      <w:r w:rsidRPr="00F1703A">
        <w:rPr>
          <w:rFonts w:ascii="Times New Roman" w:hAnsi="Times New Roman" w:cs="Times New Roman"/>
          <w:lang w:val="es-ES"/>
        </w:rPr>
        <w:t xml:space="preserve">: </w:t>
      </w:r>
    </w:p>
    <w:p w:rsidR="00181318" w:rsidRPr="00F1703A" w:rsidRDefault="00181318" w:rsidP="00181318">
      <w:pPr>
        <w:widowControl w:val="0"/>
        <w:tabs>
          <w:tab w:val="left" w:pos="2124"/>
          <w:tab w:val="left" w:pos="3540"/>
          <w:tab w:val="left" w:pos="4248"/>
          <w:tab w:val="center" w:pos="4419"/>
          <w:tab w:val="left" w:pos="4956"/>
          <w:tab w:val="left" w:pos="6372"/>
        </w:tabs>
        <w:autoSpaceDE w:val="0"/>
        <w:autoSpaceDN w:val="0"/>
        <w:adjustRightInd w:val="0"/>
        <w:jc w:val="both"/>
        <w:rPr>
          <w:rFonts w:ascii="Times New Roman" w:hAnsi="Times New Roman" w:cs="Times New Roman"/>
          <w:lang w:val="es-ES"/>
        </w:rPr>
      </w:pPr>
    </w:p>
    <w:p w:rsidR="00181318" w:rsidRPr="00F1703A" w:rsidRDefault="00181318" w:rsidP="00181318">
      <w:pPr>
        <w:jc w:val="both"/>
        <w:rPr>
          <w:rFonts w:ascii="Times New Roman" w:hAnsi="Times New Roman" w:cs="Times New Roman"/>
          <w:sz w:val="22"/>
          <w:szCs w:val="22"/>
          <w:u w:val="single"/>
          <w:lang w:val="es-ES"/>
        </w:rPr>
      </w:pPr>
      <w:r w:rsidRPr="00F1703A">
        <w:rPr>
          <w:rFonts w:ascii="Times New Roman" w:hAnsi="Times New Roman" w:cs="Times New Roman"/>
          <w:noProof/>
          <w:sz w:val="22"/>
          <w:szCs w:val="22"/>
          <w:u w:val="single"/>
          <w:lang w:val="es-ES" w:eastAsia="es-ES"/>
        </w:rPr>
        <w:lastRenderedPageBreak/>
        <w:drawing>
          <wp:inline distT="0" distB="0" distL="0" distR="0">
            <wp:extent cx="5276850" cy="2600325"/>
            <wp:effectExtent l="19050" t="0" r="19050"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81318" w:rsidRPr="00F1703A" w:rsidRDefault="00181318" w:rsidP="00181318">
      <w:pPr>
        <w:jc w:val="both"/>
        <w:rPr>
          <w:rFonts w:ascii="Times New Roman" w:hAnsi="Times New Roman" w:cs="Times New Roman"/>
          <w:sz w:val="22"/>
          <w:szCs w:val="22"/>
          <w:u w:val="single"/>
          <w:lang w:val="es-ES"/>
        </w:rPr>
      </w:pPr>
    </w:p>
    <w:p w:rsidR="00181318" w:rsidRPr="00181318" w:rsidRDefault="008209FA" w:rsidP="008209FA">
      <w:pPr>
        <w:pStyle w:val="Ttulo3"/>
        <w:rPr>
          <w:rFonts w:ascii="Times New Roman" w:hAnsi="Times New Roman"/>
          <w:i/>
        </w:rPr>
      </w:pPr>
      <w:bookmarkStart w:id="40" w:name="_Toc362358059"/>
      <w:r>
        <w:rPr>
          <w:rFonts w:ascii="Times New Roman" w:hAnsi="Times New Roman"/>
          <w:i/>
        </w:rPr>
        <w:t xml:space="preserve">3.11. </w:t>
      </w:r>
      <w:r w:rsidR="00181318" w:rsidRPr="00181318">
        <w:rPr>
          <w:rFonts w:ascii="Times New Roman" w:hAnsi="Times New Roman"/>
          <w:i/>
        </w:rPr>
        <w:t>Movilidad</w:t>
      </w:r>
      <w:bookmarkEnd w:id="40"/>
    </w:p>
    <w:p w:rsidR="00181318" w:rsidRPr="00F1703A" w:rsidRDefault="00181318" w:rsidP="00181318">
      <w:pPr>
        <w:jc w:val="both"/>
        <w:rPr>
          <w:rFonts w:ascii="Times New Roman" w:hAnsi="Times New Roman" w:cs="Times New Roman"/>
          <w:b/>
          <w:lang w:val="es-ES"/>
        </w:rPr>
      </w:pPr>
    </w:p>
    <w:p w:rsidR="00181318" w:rsidRPr="00766860" w:rsidRDefault="00181318" w:rsidP="00024133">
      <w:pPr>
        <w:jc w:val="both"/>
        <w:rPr>
          <w:rFonts w:ascii="Times New Roman" w:hAnsi="Times New Roman" w:cs="Times New Roman"/>
          <w:lang w:val="es-CO"/>
        </w:rPr>
      </w:pPr>
      <w:r w:rsidRPr="00766860">
        <w:rPr>
          <w:rFonts w:ascii="Times New Roman" w:hAnsi="Times New Roman" w:cs="Times New Roman"/>
          <w:lang w:val="es-ES"/>
        </w:rPr>
        <w:t xml:space="preserve">El proyecto de </w:t>
      </w:r>
      <w:r w:rsidRPr="00766860">
        <w:rPr>
          <w:rFonts w:ascii="Times New Roman" w:hAnsi="Times New Roman" w:cs="Times New Roman"/>
          <w:bCs/>
          <w:lang w:val="es-ES"/>
        </w:rPr>
        <w:t>movilidad escolar</w:t>
      </w:r>
      <w:r w:rsidRPr="00766860">
        <w:rPr>
          <w:rFonts w:ascii="Times New Roman" w:hAnsi="Times New Roman" w:cs="Times New Roman"/>
          <w:lang w:val="es-ES"/>
        </w:rPr>
        <w:t xml:space="preserve"> liderado ofrece a los estudiantes diferentes beneficios para garantizar su permanencia en el sistema escolar. Para ello se generan diferentes alternativas de transporte condicionado a la asistencia  escolar: ruta escolar, subsidio de transporte, bicicleta, </w:t>
      </w:r>
      <w:r w:rsidR="00024133" w:rsidRPr="00766860">
        <w:rPr>
          <w:rFonts w:ascii="Times New Roman" w:hAnsi="Times New Roman" w:cs="Times New Roman"/>
          <w:lang w:val="es-ES"/>
        </w:rPr>
        <w:t xml:space="preserve">y </w:t>
      </w:r>
      <w:r w:rsidRPr="00766860">
        <w:rPr>
          <w:rFonts w:ascii="Times New Roman" w:hAnsi="Times New Roman" w:cs="Times New Roman"/>
          <w:lang w:val="es-ES"/>
        </w:rPr>
        <w:t>S</w:t>
      </w:r>
      <w:r w:rsidR="00024133" w:rsidRPr="00766860">
        <w:rPr>
          <w:rFonts w:ascii="Times New Roman" w:hAnsi="Times New Roman" w:cs="Times New Roman"/>
          <w:lang w:val="es-ES"/>
        </w:rPr>
        <w:t xml:space="preserve">istema </w:t>
      </w:r>
      <w:r w:rsidRPr="00766860">
        <w:rPr>
          <w:rFonts w:ascii="Times New Roman" w:hAnsi="Times New Roman" w:cs="Times New Roman"/>
          <w:lang w:val="es-ES"/>
        </w:rPr>
        <w:t>I</w:t>
      </w:r>
      <w:r w:rsidR="00024133" w:rsidRPr="00766860">
        <w:rPr>
          <w:rFonts w:ascii="Times New Roman" w:hAnsi="Times New Roman" w:cs="Times New Roman"/>
          <w:lang w:val="es-ES"/>
        </w:rPr>
        <w:t xml:space="preserve">ntegrado de </w:t>
      </w:r>
      <w:r w:rsidRPr="00766860">
        <w:rPr>
          <w:rFonts w:ascii="Times New Roman" w:hAnsi="Times New Roman" w:cs="Times New Roman"/>
          <w:lang w:val="es-ES"/>
        </w:rPr>
        <w:t>T</w:t>
      </w:r>
      <w:r w:rsidR="00024133" w:rsidRPr="00766860">
        <w:rPr>
          <w:rFonts w:ascii="Times New Roman" w:hAnsi="Times New Roman" w:cs="Times New Roman"/>
          <w:lang w:val="es-ES"/>
        </w:rPr>
        <w:t xml:space="preserve">ransporte </w:t>
      </w:r>
      <w:r w:rsidRPr="00766860">
        <w:rPr>
          <w:rFonts w:ascii="Times New Roman" w:hAnsi="Times New Roman" w:cs="Times New Roman"/>
          <w:lang w:val="es-ES"/>
        </w:rPr>
        <w:t>P</w:t>
      </w:r>
      <w:r w:rsidR="00024133" w:rsidRPr="00766860">
        <w:rPr>
          <w:rFonts w:ascii="Times New Roman" w:hAnsi="Times New Roman" w:cs="Times New Roman"/>
          <w:lang w:val="es-ES"/>
        </w:rPr>
        <w:t>úblico</w:t>
      </w:r>
      <w:r w:rsidRPr="00766860">
        <w:rPr>
          <w:rFonts w:ascii="Times New Roman" w:hAnsi="Times New Roman" w:cs="Times New Roman"/>
          <w:lang w:val="es-ES"/>
        </w:rPr>
        <w:t>.</w:t>
      </w:r>
      <w:r w:rsidR="00024133" w:rsidRPr="00766860">
        <w:rPr>
          <w:rFonts w:ascii="Times New Roman" w:hAnsi="Times New Roman" w:cs="Times New Roman"/>
          <w:lang w:val="es-ES"/>
        </w:rPr>
        <w:t xml:space="preserve"> Los objetivos del proyecto son: promover la asistencia a clases;</w:t>
      </w:r>
      <w:r w:rsidRPr="00766860">
        <w:rPr>
          <w:rFonts w:ascii="Times New Roman" w:hAnsi="Times New Roman" w:cs="Times New Roman"/>
          <w:lang w:val="es-CO"/>
        </w:rPr>
        <w:t xml:space="preserve"> </w:t>
      </w:r>
      <w:r w:rsidR="00766860">
        <w:rPr>
          <w:rFonts w:ascii="Times New Roman" w:hAnsi="Times New Roman" w:cs="Times New Roman"/>
          <w:lang w:val="es-CO"/>
        </w:rPr>
        <w:t>ofrecer</w:t>
      </w:r>
      <w:r w:rsidRPr="00766860">
        <w:rPr>
          <w:rFonts w:ascii="Times New Roman" w:hAnsi="Times New Roman" w:cs="Times New Roman"/>
          <w:lang w:val="es-ES"/>
        </w:rPr>
        <w:t xml:space="preserve"> condiciones de seguridad en la movilización de los estudiantes be</w:t>
      </w:r>
      <w:r w:rsidR="00024133" w:rsidRPr="00766860">
        <w:rPr>
          <w:rFonts w:ascii="Times New Roman" w:hAnsi="Times New Roman" w:cs="Times New Roman"/>
          <w:lang w:val="es-ES"/>
        </w:rPr>
        <w:t>neficiarios con Rutas Escolares; y avanzar</w:t>
      </w:r>
      <w:r w:rsidRPr="00766860">
        <w:rPr>
          <w:rFonts w:ascii="Times New Roman" w:hAnsi="Times New Roman" w:cs="Times New Roman"/>
          <w:lang w:val="es-CO"/>
        </w:rPr>
        <w:t xml:space="preserve"> hacia una ciudad incluyente, sostenible y segura, promoviendo el uso de la Bicicleta en los jóvenes de colegios del Distrito.</w:t>
      </w:r>
      <w:r w:rsidRPr="00766860">
        <w:rPr>
          <w:rFonts w:ascii="Times New Roman" w:hAnsi="Times New Roman" w:cs="Times New Roman"/>
          <w:lang w:val="es-ES"/>
        </w:rPr>
        <w:t xml:space="preserve"> </w:t>
      </w:r>
    </w:p>
    <w:p w:rsidR="00181318" w:rsidRPr="00766860" w:rsidRDefault="00181318" w:rsidP="00181318">
      <w:pPr>
        <w:jc w:val="both"/>
        <w:rPr>
          <w:rFonts w:ascii="Times New Roman" w:hAnsi="Times New Roman" w:cs="Times New Roman"/>
          <w:lang w:val="es-CO"/>
        </w:rPr>
      </w:pPr>
    </w:p>
    <w:p w:rsidR="00181318" w:rsidRPr="00766860" w:rsidRDefault="00181318" w:rsidP="00181318">
      <w:pPr>
        <w:jc w:val="both"/>
        <w:rPr>
          <w:rFonts w:ascii="Times New Roman" w:hAnsi="Times New Roman" w:cs="Times New Roman"/>
          <w:lang w:val="es-CO"/>
        </w:rPr>
      </w:pPr>
      <w:r w:rsidRPr="00766860">
        <w:rPr>
          <w:rFonts w:ascii="Times New Roman" w:hAnsi="Times New Roman" w:cs="Times New Roman"/>
          <w:lang w:val="es-ES"/>
        </w:rPr>
        <w:t xml:space="preserve">Bogotá Humana ampliará la cobertura en Movilidad Escolar en 90 mil estudiantes beneficiarios con </w:t>
      </w:r>
      <w:r w:rsidR="00024133" w:rsidRPr="00766860">
        <w:rPr>
          <w:rFonts w:ascii="Times New Roman" w:hAnsi="Times New Roman" w:cs="Times New Roman"/>
          <w:lang w:val="es-ES"/>
        </w:rPr>
        <w:t>ruta escolar, subsidio de transporte</w:t>
      </w:r>
      <w:r w:rsidRPr="00766860">
        <w:rPr>
          <w:rFonts w:ascii="Times New Roman" w:hAnsi="Times New Roman" w:cs="Times New Roman"/>
          <w:lang w:val="es-ES"/>
        </w:rPr>
        <w:t>, y medios alternativos de transporte (bicicletas, patines, entre otros).</w:t>
      </w:r>
    </w:p>
    <w:p w:rsidR="00181318" w:rsidRPr="00766860" w:rsidRDefault="00181318" w:rsidP="00181318">
      <w:pPr>
        <w:jc w:val="both"/>
        <w:rPr>
          <w:rFonts w:ascii="Times New Roman" w:hAnsi="Times New Roman" w:cs="Times New Roman"/>
          <w:lang w:val="es-CO"/>
        </w:rPr>
      </w:pPr>
    </w:p>
    <w:p w:rsidR="00181318" w:rsidRPr="00F1703A" w:rsidRDefault="00181318" w:rsidP="00181318">
      <w:pPr>
        <w:jc w:val="both"/>
        <w:rPr>
          <w:rFonts w:ascii="Times New Roman" w:hAnsi="Times New Roman" w:cs="Times New Roman"/>
          <w:sz w:val="22"/>
          <w:szCs w:val="22"/>
          <w:lang w:val="es-CO"/>
        </w:rPr>
      </w:pPr>
      <w:r w:rsidRPr="00F1703A">
        <w:rPr>
          <w:rFonts w:ascii="Times New Roman" w:hAnsi="Times New Roman" w:cs="Times New Roman"/>
          <w:noProof/>
          <w:sz w:val="22"/>
          <w:szCs w:val="22"/>
          <w:lang w:val="es-ES" w:eastAsia="es-ES"/>
        </w:rPr>
        <w:lastRenderedPageBreak/>
        <w:drawing>
          <wp:inline distT="0" distB="0" distL="0" distR="0">
            <wp:extent cx="4819650" cy="3105150"/>
            <wp:effectExtent l="19050" t="0" r="1905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81318" w:rsidRPr="00F1703A" w:rsidRDefault="00181318" w:rsidP="00181318">
      <w:pPr>
        <w:jc w:val="both"/>
        <w:rPr>
          <w:rFonts w:ascii="Times New Roman" w:hAnsi="Times New Roman" w:cs="Times New Roman"/>
          <w:lang w:val="es-CO"/>
        </w:rPr>
      </w:pPr>
    </w:p>
    <w:p w:rsidR="00181318" w:rsidRPr="00F1703A" w:rsidRDefault="00181318" w:rsidP="00181318">
      <w:pPr>
        <w:pStyle w:val="Prrafodelista"/>
        <w:numPr>
          <w:ilvl w:val="0"/>
          <w:numId w:val="24"/>
        </w:numPr>
        <w:jc w:val="both"/>
        <w:rPr>
          <w:u w:val="single"/>
          <w:lang w:val="es-CO"/>
        </w:rPr>
      </w:pPr>
      <w:r w:rsidRPr="00F1703A">
        <w:rPr>
          <w:u w:val="single"/>
          <w:lang w:val="es-ES"/>
        </w:rPr>
        <w:t xml:space="preserve">Ruta escolar </w:t>
      </w:r>
      <w:r w:rsidRPr="00F1703A">
        <w:rPr>
          <w:bCs/>
          <w:u w:val="single"/>
          <w:lang w:val="es-ES"/>
        </w:rPr>
        <w:t xml:space="preserve">condicionada a la asistencia  escolar </w:t>
      </w:r>
    </w:p>
    <w:p w:rsidR="00181318" w:rsidRPr="00F1703A" w:rsidRDefault="00181318" w:rsidP="00181318">
      <w:pPr>
        <w:jc w:val="both"/>
        <w:rPr>
          <w:rFonts w:ascii="Times New Roman" w:hAnsi="Times New Roman" w:cs="Times New Roman"/>
          <w:lang w:val="es-ES"/>
        </w:rPr>
      </w:pP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ES"/>
        </w:rPr>
        <w:t xml:space="preserve">La </w:t>
      </w:r>
      <w:r w:rsidRPr="00F1703A">
        <w:rPr>
          <w:rFonts w:ascii="Times New Roman" w:hAnsi="Times New Roman" w:cs="Times New Roman"/>
          <w:bCs/>
          <w:lang w:val="es-ES"/>
        </w:rPr>
        <w:t>Ruta Escolar</w:t>
      </w:r>
      <w:r w:rsidRPr="00F1703A">
        <w:rPr>
          <w:rFonts w:ascii="Times New Roman" w:hAnsi="Times New Roman" w:cs="Times New Roman"/>
          <w:b/>
          <w:bCs/>
          <w:lang w:val="es-ES"/>
        </w:rPr>
        <w:t xml:space="preserve"> </w:t>
      </w:r>
      <w:r w:rsidRPr="00F1703A">
        <w:rPr>
          <w:rFonts w:ascii="Times New Roman" w:hAnsi="Times New Roman" w:cs="Times New Roman"/>
          <w:lang w:val="es-ES"/>
        </w:rPr>
        <w:t xml:space="preserve">es una estrategia creada para garantizar la permanencia de niñas y niños desde los grados Jardín, Prejardín hasta 7º que viven a más de 2 Km. del colegio asignado por la SED. </w:t>
      </w:r>
    </w:p>
    <w:p w:rsidR="00181318" w:rsidRPr="00F1703A" w:rsidRDefault="00181318" w:rsidP="00181318">
      <w:pPr>
        <w:jc w:val="both"/>
        <w:rPr>
          <w:rFonts w:ascii="Times New Roman" w:hAnsi="Times New Roman" w:cs="Times New Roman"/>
          <w:lang w:val="es-ES"/>
        </w:rPr>
      </w:pPr>
    </w:p>
    <w:p w:rsidR="00181318" w:rsidRPr="00F1703A" w:rsidRDefault="00181318" w:rsidP="00181318">
      <w:pPr>
        <w:jc w:val="both"/>
        <w:rPr>
          <w:rFonts w:ascii="Times New Roman" w:hAnsi="Times New Roman" w:cs="Times New Roman"/>
          <w:lang w:val="es-ES"/>
        </w:rPr>
      </w:pPr>
      <w:r w:rsidRPr="00F1703A">
        <w:rPr>
          <w:rFonts w:ascii="Times New Roman" w:hAnsi="Times New Roman" w:cs="Times New Roman"/>
          <w:lang w:val="es-ES"/>
        </w:rPr>
        <w:t xml:space="preserve">La seguridad es parte vital de la estrategia, para ello cuenta con la supervisión de un (a) monitor(a) que acompaña a las y los estudiantes en los recorridos establecidos para su ingreso puntual al colegio y el desplazamiento a las actividades extracurriculares. </w:t>
      </w:r>
    </w:p>
    <w:p w:rsidR="00181318" w:rsidRPr="00F1703A" w:rsidRDefault="00181318" w:rsidP="00181318">
      <w:pPr>
        <w:jc w:val="both"/>
        <w:rPr>
          <w:rFonts w:ascii="Times New Roman" w:hAnsi="Times New Roman" w:cs="Times New Roman"/>
          <w:lang w:val="es-CO"/>
        </w:rPr>
      </w:pPr>
    </w:p>
    <w:p w:rsidR="00181318" w:rsidRDefault="00181318" w:rsidP="00181318">
      <w:pPr>
        <w:jc w:val="both"/>
        <w:rPr>
          <w:rFonts w:ascii="Times New Roman" w:hAnsi="Times New Roman" w:cs="Times New Roman"/>
          <w:lang w:val="es-ES"/>
        </w:rPr>
      </w:pPr>
      <w:r w:rsidRPr="00F1703A">
        <w:rPr>
          <w:rFonts w:ascii="Times New Roman" w:hAnsi="Times New Roman" w:cs="Times New Roman"/>
          <w:lang w:val="es-ES"/>
        </w:rPr>
        <w:t xml:space="preserve">Los vehículos contratados por la SED cumplen con los más altos estándares de calidad, los cuales se ven reflejados en la prestación de un óptimo servicio con una dotación apta para la movilidad segura. </w:t>
      </w:r>
    </w:p>
    <w:p w:rsidR="007E55BF" w:rsidRPr="00F1703A" w:rsidRDefault="007E55BF" w:rsidP="00181318">
      <w:pPr>
        <w:jc w:val="both"/>
        <w:rPr>
          <w:rFonts w:ascii="Times New Roman" w:hAnsi="Times New Roman" w:cs="Times New Roman"/>
          <w:lang w:val="es-ES"/>
        </w:rPr>
      </w:pPr>
    </w:p>
    <w:p w:rsidR="00181318" w:rsidRPr="00F1703A" w:rsidRDefault="00181318" w:rsidP="00181318">
      <w:pPr>
        <w:pStyle w:val="Prrafodelista"/>
        <w:numPr>
          <w:ilvl w:val="0"/>
          <w:numId w:val="24"/>
        </w:numPr>
        <w:jc w:val="both"/>
        <w:rPr>
          <w:bCs/>
          <w:u w:val="single"/>
          <w:lang w:val="es-ES"/>
        </w:rPr>
      </w:pPr>
      <w:r w:rsidRPr="00F1703A">
        <w:rPr>
          <w:bCs/>
          <w:u w:val="single"/>
          <w:lang w:val="es-ES"/>
        </w:rPr>
        <w:t xml:space="preserve">Subsidio de transporte condicionado a la asistencia escolar </w:t>
      </w:r>
    </w:p>
    <w:p w:rsidR="00181318" w:rsidRPr="00F1703A" w:rsidRDefault="00181318" w:rsidP="00181318">
      <w:pPr>
        <w:jc w:val="both"/>
        <w:rPr>
          <w:rFonts w:ascii="Times New Roman" w:hAnsi="Times New Roman" w:cs="Times New Roman"/>
          <w:lang w:val="es-ES"/>
        </w:rPr>
      </w:pPr>
    </w:p>
    <w:p w:rsidR="00181318" w:rsidRPr="00F1703A" w:rsidRDefault="00181318" w:rsidP="00181318">
      <w:pPr>
        <w:jc w:val="both"/>
        <w:rPr>
          <w:rFonts w:ascii="Times New Roman" w:hAnsi="Times New Roman" w:cs="Times New Roman"/>
          <w:lang w:val="es-ES"/>
        </w:rPr>
      </w:pPr>
      <w:r w:rsidRPr="00F1703A">
        <w:rPr>
          <w:rFonts w:ascii="Times New Roman" w:hAnsi="Times New Roman" w:cs="Times New Roman"/>
          <w:lang w:val="es-ES"/>
        </w:rPr>
        <w:t xml:space="preserve">Al igual que la ruta escolar, el </w:t>
      </w:r>
      <w:r w:rsidRPr="00F1703A">
        <w:rPr>
          <w:rFonts w:ascii="Times New Roman" w:hAnsi="Times New Roman" w:cs="Times New Roman"/>
          <w:bCs/>
          <w:lang w:val="es-ES"/>
        </w:rPr>
        <w:t>subsidio de transporte</w:t>
      </w:r>
      <w:r w:rsidRPr="00F1703A">
        <w:rPr>
          <w:rFonts w:ascii="Times New Roman" w:hAnsi="Times New Roman" w:cs="Times New Roman"/>
          <w:b/>
          <w:bCs/>
          <w:lang w:val="es-ES"/>
        </w:rPr>
        <w:t xml:space="preserve"> </w:t>
      </w:r>
      <w:r w:rsidRPr="00F1703A">
        <w:rPr>
          <w:rFonts w:ascii="Times New Roman" w:hAnsi="Times New Roman" w:cs="Times New Roman"/>
          <w:lang w:val="es-ES"/>
        </w:rPr>
        <w:t xml:space="preserve">está condicionado a la asistencia escolar y busca generar una solución a la problemática del desplazamiento de niñas, niños y jóvenes de grados 0º a 11º, que viven a más de 2 Km. de distancia del colegio asignado por la SED. Con ello  se garantiza el acceso y la permanencia del estudiante en el sistema educativo oficial. </w:t>
      </w:r>
    </w:p>
    <w:p w:rsidR="00181318" w:rsidRPr="00F1703A" w:rsidRDefault="00181318" w:rsidP="00181318">
      <w:pPr>
        <w:jc w:val="both"/>
        <w:rPr>
          <w:rFonts w:ascii="Times New Roman" w:hAnsi="Times New Roman" w:cs="Times New Roman"/>
          <w:lang w:val="es-CO"/>
        </w:rPr>
      </w:pPr>
    </w:p>
    <w:p w:rsidR="00181318" w:rsidRPr="00F1703A" w:rsidRDefault="00181318" w:rsidP="00181318">
      <w:pPr>
        <w:pStyle w:val="Prrafodelista"/>
        <w:numPr>
          <w:ilvl w:val="0"/>
          <w:numId w:val="24"/>
        </w:numPr>
        <w:jc w:val="both"/>
        <w:rPr>
          <w:u w:val="single"/>
          <w:lang w:val="es-CO"/>
        </w:rPr>
      </w:pPr>
      <w:r w:rsidRPr="00F1703A">
        <w:rPr>
          <w:bCs/>
          <w:u w:val="single"/>
          <w:lang w:val="es-ES"/>
        </w:rPr>
        <w:t>Al colegio en Bici</w:t>
      </w:r>
      <w:r w:rsidRPr="00F1703A">
        <w:rPr>
          <w:bCs/>
          <w:u w:val="single"/>
          <w:lang w:val="en-US"/>
        </w:rPr>
        <w:t xml:space="preserve"> </w:t>
      </w:r>
    </w:p>
    <w:p w:rsidR="00181318" w:rsidRPr="00F1703A" w:rsidRDefault="00181318" w:rsidP="00181318">
      <w:pPr>
        <w:jc w:val="both"/>
        <w:rPr>
          <w:rFonts w:ascii="Times New Roman" w:hAnsi="Times New Roman" w:cs="Times New Roman"/>
          <w:lang w:val="es-CO"/>
        </w:rPr>
      </w:pPr>
    </w:p>
    <w:p w:rsidR="00181318" w:rsidRPr="00F1703A" w:rsidRDefault="00181318" w:rsidP="00181318">
      <w:pPr>
        <w:jc w:val="both"/>
        <w:rPr>
          <w:rFonts w:ascii="Times New Roman" w:hAnsi="Times New Roman" w:cs="Times New Roman"/>
          <w:lang w:val="es-ES"/>
        </w:rPr>
      </w:pPr>
      <w:r w:rsidRPr="00F1703A">
        <w:rPr>
          <w:rFonts w:ascii="Times New Roman" w:hAnsi="Times New Roman" w:cs="Times New Roman"/>
          <w:bCs/>
          <w:lang w:val="es-ES"/>
        </w:rPr>
        <w:t>Al colegio en Bici</w:t>
      </w:r>
      <w:r w:rsidRPr="00F1703A">
        <w:rPr>
          <w:rFonts w:ascii="Times New Roman" w:hAnsi="Times New Roman" w:cs="Times New Roman"/>
          <w:lang w:val="es-ES"/>
        </w:rPr>
        <w:t xml:space="preserve"> es una estrategia sostenible a largo plazo que busca promover una cultura del uso de la bicicleta en los estudiantes matriculados en un colegio oficial, en los grados 6º a 12º y ubicados entre 1.5 a 3 kilómetros de distancia entre su lugar </w:t>
      </w:r>
      <w:r w:rsidR="00E31806">
        <w:rPr>
          <w:rFonts w:ascii="Times New Roman" w:hAnsi="Times New Roman" w:cs="Times New Roman"/>
          <w:lang w:val="es-ES"/>
        </w:rPr>
        <w:t xml:space="preserve">de residencia </w:t>
      </w:r>
      <w:r w:rsidR="00E31806">
        <w:rPr>
          <w:rFonts w:ascii="Times New Roman" w:hAnsi="Times New Roman" w:cs="Times New Roman"/>
          <w:lang w:val="es-ES"/>
        </w:rPr>
        <w:lastRenderedPageBreak/>
        <w:t>y el colegio. Asi</w:t>
      </w:r>
      <w:r w:rsidRPr="00F1703A">
        <w:rPr>
          <w:rFonts w:ascii="Times New Roman" w:hAnsi="Times New Roman" w:cs="Times New Roman"/>
          <w:lang w:val="es-ES"/>
        </w:rPr>
        <w:t xml:space="preserve">mismo, esta nueva modalidad en el marco educativo fomenta la actividad física incentivando hábitos de vida saludable, potencia la participación en igualdad de géneros, impulsa la integración escolar y la participación ciudadana.  </w:t>
      </w:r>
    </w:p>
    <w:p w:rsidR="00181318" w:rsidRPr="00F1703A" w:rsidRDefault="00181318" w:rsidP="00181318">
      <w:pPr>
        <w:jc w:val="both"/>
        <w:rPr>
          <w:rFonts w:ascii="Times New Roman" w:hAnsi="Times New Roman" w:cs="Times New Roman"/>
          <w:lang w:val="es-ES"/>
        </w:rPr>
      </w:pP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ES"/>
        </w:rPr>
        <w:t xml:space="preserve">En la primera fase de ejecución de esta alternativa, los estudiantes de colegios distritales de Bosa, Kennedy, Engativá y Suba cercanos a la </w:t>
      </w:r>
      <w:r w:rsidRPr="00F1703A">
        <w:rPr>
          <w:rFonts w:ascii="Times New Roman" w:hAnsi="Times New Roman" w:cs="Times New Roman"/>
          <w:lang w:val="es-CO"/>
        </w:rPr>
        <w:t xml:space="preserve">Red de Cicloruta, pueden participar  de este tipo de movilidad. En una segunda fase, se irán vinculando progresivamente otras localidades. </w:t>
      </w:r>
      <w:r w:rsidRPr="00F1703A">
        <w:rPr>
          <w:rFonts w:ascii="Times New Roman" w:hAnsi="Times New Roman" w:cs="Times New Roman"/>
          <w:lang w:val="es-ES"/>
        </w:rPr>
        <w:t xml:space="preserve">Además de ser una alternativa de desplazamiento al colegio, también favorece el desarrollo personal y social. Con su enfoque pedagógico, esta estrategia genera en los estudiantes competencias y habilidades para la vida.  </w:t>
      </w:r>
    </w:p>
    <w:p w:rsidR="00181318" w:rsidRPr="00F1703A" w:rsidRDefault="00181318" w:rsidP="00181318">
      <w:pPr>
        <w:jc w:val="both"/>
        <w:rPr>
          <w:rFonts w:ascii="Times New Roman" w:hAnsi="Times New Roman" w:cs="Times New Roman"/>
          <w:lang w:val="es-CO"/>
        </w:rPr>
      </w:pPr>
    </w:p>
    <w:p w:rsidR="00181318" w:rsidRPr="00F1703A" w:rsidRDefault="00181318" w:rsidP="00181318">
      <w:pPr>
        <w:jc w:val="both"/>
        <w:rPr>
          <w:rFonts w:ascii="Times New Roman" w:hAnsi="Times New Roman" w:cs="Times New Roman"/>
          <w:lang w:val="es-CO"/>
        </w:rPr>
      </w:pPr>
      <w:r w:rsidRPr="00F1703A">
        <w:rPr>
          <w:rFonts w:ascii="Times New Roman" w:hAnsi="Times New Roman" w:cs="Times New Roman"/>
          <w:lang w:val="es-ES"/>
        </w:rPr>
        <w:t xml:space="preserve">La estrategia cuenta con: </w:t>
      </w:r>
    </w:p>
    <w:p w:rsidR="00181318" w:rsidRPr="00F1703A" w:rsidRDefault="00181318" w:rsidP="00181318">
      <w:pPr>
        <w:numPr>
          <w:ilvl w:val="0"/>
          <w:numId w:val="21"/>
        </w:numPr>
        <w:jc w:val="both"/>
        <w:rPr>
          <w:rFonts w:ascii="Times New Roman" w:hAnsi="Times New Roman" w:cs="Times New Roman"/>
          <w:lang w:val="es-CO"/>
        </w:rPr>
      </w:pPr>
      <w:r w:rsidRPr="00F1703A">
        <w:rPr>
          <w:rFonts w:ascii="Times New Roman" w:hAnsi="Times New Roman" w:cs="Times New Roman"/>
          <w:lang w:val="es-ES"/>
        </w:rPr>
        <w:t xml:space="preserve"> Formación en seguridad vial. </w:t>
      </w:r>
    </w:p>
    <w:p w:rsidR="00181318" w:rsidRPr="00F1703A" w:rsidRDefault="00181318" w:rsidP="00181318">
      <w:pPr>
        <w:numPr>
          <w:ilvl w:val="0"/>
          <w:numId w:val="21"/>
        </w:numPr>
        <w:jc w:val="both"/>
        <w:rPr>
          <w:rFonts w:ascii="Times New Roman" w:hAnsi="Times New Roman" w:cs="Times New Roman"/>
          <w:lang w:val="es-CO"/>
        </w:rPr>
      </w:pPr>
      <w:r w:rsidRPr="00F1703A">
        <w:rPr>
          <w:rFonts w:ascii="Times New Roman" w:hAnsi="Times New Roman" w:cs="Times New Roman"/>
          <w:lang w:val="es-ES"/>
        </w:rPr>
        <w:t xml:space="preserve"> Rutas y caminos seguros para la movilidad de los estudiantes. </w:t>
      </w:r>
    </w:p>
    <w:p w:rsidR="00181318" w:rsidRPr="00F1703A" w:rsidRDefault="00181318" w:rsidP="00181318">
      <w:pPr>
        <w:numPr>
          <w:ilvl w:val="0"/>
          <w:numId w:val="21"/>
        </w:numPr>
        <w:jc w:val="both"/>
        <w:rPr>
          <w:rFonts w:ascii="Times New Roman" w:hAnsi="Times New Roman" w:cs="Times New Roman"/>
          <w:lang w:val="es-CO"/>
        </w:rPr>
      </w:pPr>
      <w:r w:rsidRPr="00F1703A">
        <w:rPr>
          <w:rFonts w:ascii="Times New Roman" w:hAnsi="Times New Roman" w:cs="Times New Roman"/>
          <w:lang w:val="es-ES"/>
        </w:rPr>
        <w:t xml:space="preserve"> Acompañamiento de guías especializados.</w:t>
      </w:r>
    </w:p>
    <w:p w:rsidR="00181318" w:rsidRPr="00F1703A" w:rsidRDefault="00181318" w:rsidP="00181318">
      <w:pPr>
        <w:numPr>
          <w:ilvl w:val="0"/>
          <w:numId w:val="21"/>
        </w:numPr>
        <w:jc w:val="both"/>
        <w:rPr>
          <w:rFonts w:ascii="Times New Roman" w:hAnsi="Times New Roman" w:cs="Times New Roman"/>
          <w:lang w:val="es-CO"/>
        </w:rPr>
      </w:pPr>
      <w:r w:rsidRPr="00F1703A">
        <w:rPr>
          <w:rFonts w:ascii="Times New Roman" w:hAnsi="Times New Roman" w:cs="Times New Roman"/>
          <w:lang w:val="es-ES"/>
        </w:rPr>
        <w:t xml:space="preserve"> Kit con implementos para la protección.</w:t>
      </w:r>
      <w:r w:rsidRPr="00F1703A">
        <w:rPr>
          <w:rFonts w:ascii="Times New Roman" w:hAnsi="Times New Roman" w:cs="Times New Roman"/>
          <w:lang w:val="es-CO"/>
        </w:rPr>
        <w:t xml:space="preserve"> </w:t>
      </w:r>
    </w:p>
    <w:p w:rsidR="005E113D" w:rsidRPr="007956FB" w:rsidRDefault="005E113D" w:rsidP="005E113D">
      <w:pPr>
        <w:jc w:val="both"/>
        <w:rPr>
          <w:rFonts w:ascii="Times New Roman" w:hAnsi="Times New Roman" w:cs="Times New Roman"/>
          <w:lang w:val="es-ES"/>
        </w:rPr>
      </w:pPr>
    </w:p>
    <w:p w:rsidR="005E113D" w:rsidRPr="00F1703A" w:rsidRDefault="005E113D" w:rsidP="005E113D">
      <w:pPr>
        <w:pStyle w:val="Prrafodelista"/>
        <w:numPr>
          <w:ilvl w:val="0"/>
          <w:numId w:val="24"/>
        </w:numPr>
        <w:jc w:val="both"/>
        <w:rPr>
          <w:bCs/>
          <w:u w:val="single"/>
          <w:lang w:val="es-ES"/>
        </w:rPr>
      </w:pPr>
      <w:r w:rsidRPr="00F1703A">
        <w:rPr>
          <w:bCs/>
          <w:u w:val="single"/>
          <w:lang w:val="es-ES"/>
        </w:rPr>
        <w:t xml:space="preserve">Caminar, otra opción para ir al colegio </w:t>
      </w:r>
    </w:p>
    <w:p w:rsidR="005E113D" w:rsidRPr="00F1703A" w:rsidRDefault="005E113D" w:rsidP="005E113D">
      <w:pPr>
        <w:jc w:val="both"/>
        <w:rPr>
          <w:rFonts w:ascii="Times New Roman" w:hAnsi="Times New Roman" w:cs="Times New Roman"/>
          <w:bCs/>
          <w:u w:val="single"/>
          <w:lang w:val="es-ES"/>
        </w:rPr>
      </w:pPr>
    </w:p>
    <w:p w:rsidR="005E113D" w:rsidRPr="00F1703A" w:rsidRDefault="005E113D" w:rsidP="005E113D">
      <w:pPr>
        <w:jc w:val="both"/>
        <w:rPr>
          <w:rFonts w:ascii="Times New Roman" w:hAnsi="Times New Roman" w:cs="Times New Roman"/>
          <w:bCs/>
          <w:lang w:val="es-CO"/>
        </w:rPr>
      </w:pPr>
      <w:r w:rsidRPr="00F1703A">
        <w:rPr>
          <w:rFonts w:ascii="Times New Roman" w:hAnsi="Times New Roman" w:cs="Times New Roman"/>
          <w:bCs/>
          <w:lang w:val="es-ES"/>
        </w:rPr>
        <w:t>Esta opción cobra más fuerza,  porque  en los últimos años la SED ha logrado ubicar a los estudiantes en colegios más cercanos a su lugar de residencia. Cerca del 80% de los estudiantes de las localidades de Bosa, Kennedy, Engativá y Suba van al colegio caminando.</w:t>
      </w:r>
    </w:p>
    <w:p w:rsidR="005E113D" w:rsidRPr="00F1703A" w:rsidRDefault="005E113D" w:rsidP="005E113D">
      <w:pPr>
        <w:jc w:val="both"/>
        <w:rPr>
          <w:rFonts w:ascii="Times New Roman" w:hAnsi="Times New Roman" w:cs="Times New Roman"/>
          <w:bCs/>
          <w:lang w:val="es-CO"/>
        </w:rPr>
      </w:pPr>
    </w:p>
    <w:p w:rsidR="005E113D" w:rsidRPr="00F1703A" w:rsidRDefault="005E113D" w:rsidP="005E113D">
      <w:pPr>
        <w:jc w:val="both"/>
        <w:rPr>
          <w:rFonts w:ascii="Times New Roman" w:hAnsi="Times New Roman" w:cs="Times New Roman"/>
          <w:bCs/>
          <w:lang w:val="es-ES"/>
        </w:rPr>
      </w:pPr>
      <w:r w:rsidRPr="00F1703A">
        <w:rPr>
          <w:rFonts w:ascii="Times New Roman" w:hAnsi="Times New Roman" w:cs="Times New Roman"/>
          <w:bCs/>
          <w:lang w:val="es-ES"/>
        </w:rPr>
        <w:t xml:space="preserve">Ventajas de ir caminando al colegio </w:t>
      </w:r>
    </w:p>
    <w:p w:rsidR="005E113D" w:rsidRPr="00F1703A" w:rsidRDefault="005E113D" w:rsidP="005E113D">
      <w:pPr>
        <w:jc w:val="both"/>
        <w:rPr>
          <w:rFonts w:ascii="Times New Roman" w:hAnsi="Times New Roman" w:cs="Times New Roman"/>
          <w:bCs/>
          <w:lang w:val="es-CO"/>
        </w:rPr>
      </w:pPr>
    </w:p>
    <w:p w:rsidR="005E113D" w:rsidRPr="00F1703A" w:rsidRDefault="005E113D" w:rsidP="005E113D">
      <w:pPr>
        <w:pStyle w:val="Prrafodelista"/>
        <w:numPr>
          <w:ilvl w:val="0"/>
          <w:numId w:val="22"/>
        </w:numPr>
        <w:jc w:val="both"/>
        <w:rPr>
          <w:bCs/>
          <w:lang w:val="es-CO"/>
        </w:rPr>
      </w:pPr>
      <w:r w:rsidRPr="00F1703A">
        <w:rPr>
          <w:bCs/>
          <w:lang w:val="es-ES"/>
        </w:rPr>
        <w:t>Incrementa la actividad física.</w:t>
      </w:r>
    </w:p>
    <w:p w:rsidR="005E113D" w:rsidRPr="00F1703A" w:rsidRDefault="005E113D" w:rsidP="005E113D">
      <w:pPr>
        <w:pStyle w:val="Prrafodelista"/>
        <w:numPr>
          <w:ilvl w:val="0"/>
          <w:numId w:val="22"/>
        </w:numPr>
        <w:jc w:val="both"/>
        <w:rPr>
          <w:bCs/>
          <w:lang w:val="es-CO"/>
        </w:rPr>
      </w:pPr>
      <w:r w:rsidRPr="00F1703A">
        <w:rPr>
          <w:bCs/>
          <w:lang w:val="es-ES"/>
        </w:rPr>
        <w:t>Evita el sedentarismo.</w:t>
      </w:r>
    </w:p>
    <w:p w:rsidR="005E113D" w:rsidRPr="00F1703A" w:rsidRDefault="005E113D" w:rsidP="005E113D">
      <w:pPr>
        <w:pStyle w:val="Prrafodelista"/>
        <w:numPr>
          <w:ilvl w:val="0"/>
          <w:numId w:val="22"/>
        </w:numPr>
        <w:jc w:val="both"/>
        <w:rPr>
          <w:bCs/>
          <w:lang w:val="es-CO"/>
        </w:rPr>
      </w:pPr>
      <w:r w:rsidRPr="00F1703A">
        <w:rPr>
          <w:bCs/>
          <w:lang w:val="es-ES"/>
        </w:rPr>
        <w:t>Reduce las enfermedades como la diabetes, la obesidad y los problemas cardiovasculares.</w:t>
      </w:r>
      <w:r w:rsidRPr="00F1703A">
        <w:rPr>
          <w:bCs/>
          <w:lang w:val="es-CO"/>
        </w:rPr>
        <w:t xml:space="preserve"> </w:t>
      </w:r>
    </w:p>
    <w:p w:rsidR="005E113D" w:rsidRPr="00F1703A" w:rsidRDefault="005E113D" w:rsidP="005E113D">
      <w:pPr>
        <w:pStyle w:val="Prrafodelista"/>
        <w:numPr>
          <w:ilvl w:val="0"/>
          <w:numId w:val="22"/>
        </w:numPr>
        <w:jc w:val="both"/>
        <w:rPr>
          <w:bCs/>
          <w:lang w:val="es-CO"/>
        </w:rPr>
      </w:pPr>
      <w:r w:rsidRPr="00F1703A">
        <w:rPr>
          <w:bCs/>
          <w:lang w:val="es-ES"/>
        </w:rPr>
        <w:t>Desarrolla el  sentido de la autoprotección.</w:t>
      </w:r>
    </w:p>
    <w:p w:rsidR="00181318" w:rsidRPr="00F1703A" w:rsidRDefault="00181318" w:rsidP="00181318">
      <w:pPr>
        <w:jc w:val="both"/>
        <w:rPr>
          <w:rFonts w:ascii="Times New Roman" w:hAnsi="Times New Roman" w:cs="Times New Roman"/>
          <w:lang w:val="es-CO"/>
        </w:rPr>
      </w:pPr>
    </w:p>
    <w:p w:rsidR="00181318" w:rsidRPr="00F1703A" w:rsidRDefault="00181318" w:rsidP="00181318">
      <w:pPr>
        <w:pStyle w:val="Prrafodelista"/>
        <w:numPr>
          <w:ilvl w:val="0"/>
          <w:numId w:val="24"/>
        </w:numPr>
        <w:jc w:val="both"/>
        <w:rPr>
          <w:lang w:val="es-ES"/>
        </w:rPr>
      </w:pPr>
      <w:r w:rsidRPr="00F1703A">
        <w:rPr>
          <w:bCs/>
          <w:u w:val="single"/>
          <w:lang w:val="es-ES"/>
        </w:rPr>
        <w:t>El Sistema Integrado de Transporte Público (SITP) de Bogotá</w:t>
      </w:r>
    </w:p>
    <w:p w:rsidR="00181318" w:rsidRPr="007956FB" w:rsidRDefault="00181318" w:rsidP="00181318">
      <w:pPr>
        <w:jc w:val="both"/>
        <w:rPr>
          <w:rFonts w:ascii="Times New Roman" w:hAnsi="Times New Roman" w:cs="Times New Roman"/>
          <w:lang w:val="es-ES"/>
        </w:rPr>
      </w:pPr>
      <w:r w:rsidRPr="00F1703A">
        <w:rPr>
          <w:rFonts w:ascii="Times New Roman" w:hAnsi="Times New Roman" w:cs="Times New Roman"/>
          <w:lang w:val="es-ES"/>
        </w:rPr>
        <w:br/>
        <w:t>El Sistema Integrado de Transporte Público de Bogotá no es sólo una transformación en la forma de usar el transporte público en la ciudad. Este Sistema del Distrito también promueve la participación de las y los estudiantes.</w:t>
      </w:r>
      <w:r w:rsidR="007956FB">
        <w:rPr>
          <w:rFonts w:ascii="Times New Roman" w:hAnsi="Times New Roman" w:cs="Times New Roman"/>
          <w:lang w:val="es-ES"/>
        </w:rPr>
        <w:t xml:space="preserve"> </w:t>
      </w:r>
      <w:r w:rsidRPr="00F1703A">
        <w:rPr>
          <w:rFonts w:ascii="Times New Roman" w:hAnsi="Times New Roman" w:cs="Times New Roman"/>
          <w:lang w:val="es-ES"/>
        </w:rPr>
        <w:t xml:space="preserve">Bogotá Humana, tiene toda la voluntad política para </w:t>
      </w:r>
      <w:r w:rsidR="007956FB">
        <w:rPr>
          <w:rFonts w:ascii="Times New Roman" w:hAnsi="Times New Roman" w:cs="Times New Roman"/>
          <w:lang w:val="es-ES"/>
        </w:rPr>
        <w:t xml:space="preserve">promover los mecanismos para que </w:t>
      </w:r>
      <w:r w:rsidR="007956FB" w:rsidRPr="00F1703A">
        <w:rPr>
          <w:rFonts w:ascii="Times New Roman" w:hAnsi="Times New Roman" w:cs="Times New Roman"/>
          <w:lang w:val="es-ES"/>
        </w:rPr>
        <w:t xml:space="preserve">los estudiantes </w:t>
      </w:r>
      <w:r w:rsidR="007956FB">
        <w:rPr>
          <w:rFonts w:ascii="Times New Roman" w:hAnsi="Times New Roman" w:cs="Times New Roman"/>
          <w:lang w:val="es-ES"/>
        </w:rPr>
        <w:t xml:space="preserve">puedan acceder </w:t>
      </w:r>
      <w:r w:rsidRPr="00F1703A">
        <w:rPr>
          <w:rFonts w:ascii="Times New Roman" w:hAnsi="Times New Roman" w:cs="Times New Roman"/>
          <w:lang w:val="es-ES"/>
        </w:rPr>
        <w:t>al SITP con una tarifa  diferencial para transportarse al colegio.</w:t>
      </w:r>
    </w:p>
    <w:p w:rsidR="00181318" w:rsidRPr="00181318" w:rsidRDefault="00452149" w:rsidP="00181318">
      <w:pPr>
        <w:pStyle w:val="Ttulo3"/>
        <w:rPr>
          <w:rFonts w:ascii="Times New Roman" w:hAnsi="Times New Roman"/>
          <w:i/>
        </w:rPr>
      </w:pPr>
      <w:bookmarkStart w:id="41" w:name="_Toc362358060"/>
      <w:r>
        <w:rPr>
          <w:rFonts w:ascii="Times New Roman" w:hAnsi="Times New Roman"/>
          <w:i/>
        </w:rPr>
        <w:t>3.3.12</w:t>
      </w:r>
      <w:r w:rsidR="00181318">
        <w:rPr>
          <w:rFonts w:ascii="Times New Roman" w:hAnsi="Times New Roman"/>
          <w:i/>
        </w:rPr>
        <w:t xml:space="preserve"> </w:t>
      </w:r>
      <w:r w:rsidR="00181318" w:rsidRPr="00181318">
        <w:rPr>
          <w:rFonts w:ascii="Times New Roman" w:hAnsi="Times New Roman"/>
          <w:i/>
        </w:rPr>
        <w:t>Alimentación</w:t>
      </w:r>
      <w:bookmarkEnd w:id="41"/>
    </w:p>
    <w:p w:rsidR="00181318" w:rsidRPr="00F1703A" w:rsidRDefault="00181318" w:rsidP="00181318">
      <w:pPr>
        <w:jc w:val="both"/>
        <w:rPr>
          <w:rFonts w:ascii="Times New Roman" w:hAnsi="Times New Roman" w:cs="Times New Roman"/>
          <w:b/>
          <w:bCs/>
          <w:lang w:val="es-CO"/>
        </w:rPr>
      </w:pPr>
    </w:p>
    <w:p w:rsidR="00181318" w:rsidRPr="00F1703A" w:rsidRDefault="00181318" w:rsidP="00181318">
      <w:pPr>
        <w:jc w:val="both"/>
        <w:rPr>
          <w:rFonts w:ascii="Times New Roman" w:hAnsi="Times New Roman" w:cs="Times New Roman"/>
        </w:rPr>
      </w:pPr>
      <w:r w:rsidRPr="00F1703A">
        <w:rPr>
          <w:rFonts w:ascii="Times New Roman" w:hAnsi="Times New Roman" w:cs="Times New Roman"/>
        </w:rPr>
        <w:t xml:space="preserve">La alimentación adecuada es esencial para una vida sana. Para que los niños, niñas y jóvenes escolares tengan mayor bienestar y mejor rendimiento académico, la Secretaría de Educación de Bogotá en asocio con la Secretaría de Integración Social y otras dependencias </w:t>
      </w:r>
      <w:r w:rsidRPr="00F1703A">
        <w:rPr>
          <w:rFonts w:ascii="Times New Roman" w:hAnsi="Times New Roman" w:cs="Times New Roman"/>
        </w:rPr>
        <w:lastRenderedPageBreak/>
        <w:t xml:space="preserve">del Gobierno Distrital, suministran refrigerios, desayunos o almuerzos de calidad que contribuyen a satisfacer las necesidades nutricionales de los y las estudiantes.  </w:t>
      </w:r>
    </w:p>
    <w:p w:rsidR="00400151" w:rsidRPr="00400151" w:rsidRDefault="00400151" w:rsidP="00181318">
      <w:pPr>
        <w:jc w:val="both"/>
        <w:rPr>
          <w:rFonts w:ascii="Times New Roman" w:hAnsi="Times New Roman" w:cs="Times New Roman"/>
          <w:b/>
          <w:bCs/>
          <w:lang w:val="es-CO"/>
        </w:rPr>
      </w:pPr>
    </w:p>
    <w:p w:rsidR="00400151" w:rsidRPr="00400151" w:rsidRDefault="00400151" w:rsidP="00400151">
      <w:pPr>
        <w:jc w:val="both"/>
        <w:rPr>
          <w:rFonts w:ascii="Times New Roman" w:hAnsi="Times New Roman" w:cs="Times New Roman"/>
          <w:b/>
        </w:rPr>
      </w:pPr>
      <w:r w:rsidRPr="00400151">
        <w:rPr>
          <w:rFonts w:ascii="Times New Roman" w:hAnsi="Times New Roman" w:cs="Times New Roman"/>
          <w:b/>
        </w:rPr>
        <w:t xml:space="preserve">Metas de la </w:t>
      </w:r>
      <w:r w:rsidRPr="00400151">
        <w:rPr>
          <w:rFonts w:ascii="Times New Roman" w:hAnsi="Times New Roman" w:cs="Times New Roman"/>
          <w:b/>
          <w:i/>
        </w:rPr>
        <w:t>Bogotá Humana</w:t>
      </w:r>
      <w:r w:rsidRPr="00400151">
        <w:rPr>
          <w:rFonts w:ascii="Times New Roman" w:hAnsi="Times New Roman" w:cs="Times New Roman"/>
          <w:b/>
        </w:rPr>
        <w:t xml:space="preserve"> en alimentación escolar</w:t>
      </w:r>
    </w:p>
    <w:p w:rsidR="00400151" w:rsidRPr="00400151" w:rsidRDefault="00400151" w:rsidP="00400151">
      <w:pPr>
        <w:rPr>
          <w:rFonts w:ascii="Times New Roman" w:hAnsi="Times New Roman" w:cs="Times New Roman"/>
        </w:rPr>
      </w:pPr>
    </w:p>
    <w:p w:rsidR="00400151" w:rsidRPr="00400151" w:rsidRDefault="00400151" w:rsidP="00400151">
      <w:pPr>
        <w:numPr>
          <w:ilvl w:val="0"/>
          <w:numId w:val="26"/>
        </w:numPr>
        <w:jc w:val="both"/>
        <w:rPr>
          <w:rFonts w:ascii="Times New Roman" w:hAnsi="Times New Roman" w:cs="Times New Roman"/>
        </w:rPr>
      </w:pPr>
      <w:r w:rsidRPr="00400151">
        <w:rPr>
          <w:rFonts w:ascii="Times New Roman" w:hAnsi="Times New Roman" w:cs="Times New Roman"/>
        </w:rPr>
        <w:t>Pasar de 552.000 beneficiarios a cubrir a 890.000 estudiantes con alimentación escolar diaria.</w:t>
      </w:r>
    </w:p>
    <w:p w:rsidR="00400151" w:rsidRDefault="00400151" w:rsidP="00400151">
      <w:pPr>
        <w:numPr>
          <w:ilvl w:val="0"/>
          <w:numId w:val="26"/>
        </w:numPr>
        <w:jc w:val="both"/>
        <w:rPr>
          <w:rFonts w:ascii="Times New Roman" w:hAnsi="Times New Roman" w:cs="Times New Roman"/>
        </w:rPr>
      </w:pPr>
      <w:r w:rsidRPr="00400151">
        <w:rPr>
          <w:rFonts w:ascii="Times New Roman" w:hAnsi="Times New Roman" w:cs="Times New Roman"/>
          <w:noProof/>
          <w:lang w:val="es-ES" w:eastAsia="es-ES"/>
        </w:rPr>
        <w:drawing>
          <wp:anchor distT="0" distB="0" distL="114300" distR="114300" simplePos="0" relativeHeight="251661312" behindDoc="0" locked="0" layoutInCell="1" allowOverlap="1">
            <wp:simplePos x="0" y="0"/>
            <wp:positionH relativeFrom="column">
              <wp:posOffset>3351530</wp:posOffset>
            </wp:positionH>
            <wp:positionV relativeFrom="paragraph">
              <wp:posOffset>554355</wp:posOffset>
            </wp:positionV>
            <wp:extent cx="2612390" cy="1709420"/>
            <wp:effectExtent l="19050" t="0" r="0" b="0"/>
            <wp:wrapSquare wrapText="bothSides"/>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400151">
        <w:rPr>
          <w:rFonts w:ascii="Times New Roman" w:hAnsi="Times New Roman" w:cs="Times New Roman"/>
          <w:noProof/>
          <w:lang w:val="es-ES" w:eastAsia="es-ES"/>
        </w:rPr>
        <w:drawing>
          <wp:anchor distT="0" distB="0" distL="114300" distR="114300" simplePos="0" relativeHeight="251660288" behindDoc="0" locked="0" layoutInCell="1" allowOverlap="1">
            <wp:simplePos x="0" y="0"/>
            <wp:positionH relativeFrom="column">
              <wp:posOffset>-237490</wp:posOffset>
            </wp:positionH>
            <wp:positionV relativeFrom="paragraph">
              <wp:posOffset>681355</wp:posOffset>
            </wp:positionV>
            <wp:extent cx="3379470" cy="1661795"/>
            <wp:effectExtent l="19050" t="0" r="11430" b="0"/>
            <wp:wrapThrough wrapText="bothSides">
              <wp:wrapPolygon edited="0">
                <wp:start x="-122" y="0"/>
                <wp:lineTo x="-122" y="21542"/>
                <wp:lineTo x="21673" y="21542"/>
                <wp:lineTo x="21673" y="0"/>
                <wp:lineTo x="-122" y="0"/>
              </wp:wrapPolygon>
            </wp:wrapThrough>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5E113D">
        <w:rPr>
          <w:rFonts w:ascii="Times New Roman" w:hAnsi="Times New Roman" w:cs="Times New Roman"/>
        </w:rPr>
        <w:t>O</w:t>
      </w:r>
      <w:r w:rsidRPr="00400151">
        <w:rPr>
          <w:rFonts w:ascii="Times New Roman" w:hAnsi="Times New Roman" w:cs="Times New Roman"/>
        </w:rPr>
        <w:t>perar 75 nuevos comedores escolares, para el suministro de desayuno o almuerzo y permitirán la generación de nuevos empleos directos, para población de la localidad, en la preparación y suministro de alimentos en la cocina.</w:t>
      </w:r>
    </w:p>
    <w:p w:rsidR="00400151" w:rsidRPr="00400151" w:rsidRDefault="00400151" w:rsidP="00400151">
      <w:pPr>
        <w:jc w:val="both"/>
        <w:rPr>
          <w:rFonts w:ascii="Times New Roman" w:hAnsi="Times New Roman" w:cs="Times New Roman"/>
        </w:rPr>
      </w:pPr>
    </w:p>
    <w:p w:rsidR="00400151" w:rsidRPr="003D265B" w:rsidRDefault="00400151" w:rsidP="00400151">
      <w:pPr>
        <w:jc w:val="both"/>
        <w:rPr>
          <w:vertAlign w:val="superscript"/>
        </w:rPr>
      </w:pPr>
      <w:r w:rsidRPr="003D265B">
        <w:rPr>
          <w:vertAlign w:val="superscript"/>
        </w:rPr>
        <w:t>Fuente: Dirección de Bienestar Estudiantil (Julio 2012).</w:t>
      </w:r>
    </w:p>
    <w:p w:rsidR="005E113D" w:rsidRDefault="005E113D" w:rsidP="00400151">
      <w:pPr>
        <w:jc w:val="both"/>
        <w:rPr>
          <w:b/>
        </w:rPr>
      </w:pPr>
    </w:p>
    <w:p w:rsidR="00400151" w:rsidRPr="00400151" w:rsidRDefault="00400151" w:rsidP="00400151">
      <w:pPr>
        <w:jc w:val="both"/>
        <w:rPr>
          <w:b/>
        </w:rPr>
      </w:pPr>
      <w:r w:rsidRPr="00400151">
        <w:rPr>
          <w:b/>
        </w:rPr>
        <w:t xml:space="preserve">Énfasis de la </w:t>
      </w:r>
      <w:r w:rsidRPr="00400151">
        <w:rPr>
          <w:b/>
          <w:i/>
        </w:rPr>
        <w:t>Bogotá Humana</w:t>
      </w:r>
      <w:r w:rsidRPr="00400151">
        <w:rPr>
          <w:b/>
        </w:rPr>
        <w:t xml:space="preserve"> en alimentación escolar</w:t>
      </w:r>
    </w:p>
    <w:p w:rsidR="00400151" w:rsidRPr="005E113D" w:rsidRDefault="00400151" w:rsidP="00400151">
      <w:pPr>
        <w:jc w:val="both"/>
      </w:pPr>
    </w:p>
    <w:p w:rsidR="00400151" w:rsidRDefault="00400151" w:rsidP="00400151">
      <w:pPr>
        <w:pStyle w:val="Prrafodelista"/>
        <w:numPr>
          <w:ilvl w:val="0"/>
          <w:numId w:val="27"/>
        </w:numPr>
        <w:jc w:val="both"/>
      </w:pPr>
      <w:r>
        <w:t>Cerca de 250.000 niños, niñas y jóvenes que desde los 3 años tendrán jornada escolar de 8 horas, van a tener más de una ración alimentaria diaria.</w:t>
      </w:r>
    </w:p>
    <w:p w:rsidR="00400151" w:rsidRDefault="005E113D" w:rsidP="00400151">
      <w:pPr>
        <w:pStyle w:val="Prrafodelista"/>
        <w:numPr>
          <w:ilvl w:val="0"/>
          <w:numId w:val="27"/>
        </w:numPr>
        <w:jc w:val="both"/>
      </w:pPr>
      <w:r>
        <w:t>Mantener</w:t>
      </w:r>
      <w:r w:rsidR="00400151">
        <w:t xml:space="preserve"> los estándares de calidad que han caracterizado a la alimentación escolar </w:t>
      </w:r>
      <w:r>
        <w:t>del Distrito, pero implementando</w:t>
      </w:r>
      <w:r w:rsidR="00400151">
        <w:t xml:space="preserve"> ajustes graduales para generar una oferta cada vez más pertinente a las necesidades de la población escolar, teniendo en cuenta factores como las etapas del ciclo vital, las características socio-culturales (rural y urbana), </w:t>
      </w:r>
      <w:r>
        <w:t xml:space="preserve">costumbres culturales, </w:t>
      </w:r>
      <w:r w:rsidR="00400151">
        <w:t>entre otros.</w:t>
      </w:r>
    </w:p>
    <w:p w:rsidR="00400151" w:rsidRDefault="005E113D" w:rsidP="00400151">
      <w:pPr>
        <w:pStyle w:val="Prrafodelista"/>
        <w:numPr>
          <w:ilvl w:val="0"/>
          <w:numId w:val="27"/>
        </w:numPr>
        <w:jc w:val="both"/>
      </w:pPr>
      <w:r>
        <w:t>Fomentar</w:t>
      </w:r>
      <w:r w:rsidR="00400151">
        <w:t xml:space="preserve"> una cultura de alimentación saludable, y el valor de lo público, vinculando a la familia, a los estudiantes y a la sociedad en general.</w:t>
      </w:r>
    </w:p>
    <w:p w:rsidR="00400151" w:rsidRDefault="005E113D" w:rsidP="00400151">
      <w:pPr>
        <w:pStyle w:val="Prrafodelista"/>
        <w:numPr>
          <w:ilvl w:val="0"/>
          <w:numId w:val="27"/>
        </w:numPr>
        <w:jc w:val="both"/>
      </w:pPr>
      <w:r>
        <w:t>Promover</w:t>
      </w:r>
      <w:r w:rsidR="00400151">
        <w:t xml:space="preserve"> políticas de autogestión y participación comunitaria para el fortalecimiento y vinculación de los mercados populares y el comercio minorista en la producción de productos y el suministro de alimentación escolar.  </w:t>
      </w:r>
    </w:p>
    <w:p w:rsidR="00400151" w:rsidRDefault="005E113D" w:rsidP="00400151">
      <w:pPr>
        <w:pStyle w:val="Prrafodelista"/>
        <w:numPr>
          <w:ilvl w:val="0"/>
          <w:numId w:val="27"/>
        </w:numPr>
        <w:jc w:val="both"/>
      </w:pPr>
      <w:r>
        <w:t>Desarrollar</w:t>
      </w:r>
      <w:r w:rsidR="00400151">
        <w:t xml:space="preserve"> la puesta en marcha de un sistema integrado de trabajo entre instituciones distritales vinculadas a la alimentación escolar. Es así como de la </w:t>
      </w:r>
      <w:r w:rsidR="00400151" w:rsidRPr="00C01E06">
        <w:t>mano de entidades como el Instituto Colombiano de Bienestar Familiar</w:t>
      </w:r>
      <w:r w:rsidR="00400151">
        <w:t xml:space="preserve">, </w:t>
      </w:r>
      <w:r w:rsidR="00400151" w:rsidRPr="00C01E06">
        <w:t>la Secretaría Distrital de Integración Social</w:t>
      </w:r>
      <w:r w:rsidR="00400151">
        <w:t xml:space="preserve"> y las alcaldías locales</w:t>
      </w:r>
      <w:r w:rsidR="00400151" w:rsidRPr="00C01E06">
        <w:t>, desarrollamos estrategias para:</w:t>
      </w:r>
    </w:p>
    <w:p w:rsidR="00400151" w:rsidRDefault="00400151" w:rsidP="00400151">
      <w:pPr>
        <w:pStyle w:val="Prrafodelista"/>
        <w:numPr>
          <w:ilvl w:val="0"/>
          <w:numId w:val="28"/>
        </w:numPr>
        <w:jc w:val="both"/>
      </w:pPr>
      <w:r>
        <w:t>Optimizar los recursos públicos, por medio de un trabajo coordinado de focalización de beneficiarios para evitar duplicidad de la oferta y articular esfuerzos donde más se necesita.</w:t>
      </w:r>
    </w:p>
    <w:p w:rsidR="00181318" w:rsidRPr="00400151" w:rsidRDefault="00400151" w:rsidP="00181318">
      <w:pPr>
        <w:pStyle w:val="Prrafodelista"/>
        <w:widowControl w:val="0"/>
        <w:numPr>
          <w:ilvl w:val="0"/>
          <w:numId w:val="28"/>
        </w:numPr>
        <w:ind w:left="714" w:hanging="357"/>
        <w:jc w:val="both"/>
      </w:pPr>
      <w:r>
        <w:t xml:space="preserve">Integrar la operación de los comedores comunitarios y escolares, para el aprovechamiento de 30 nuevos espacios para brindar alimentación escolar a </w:t>
      </w:r>
      <w:r>
        <w:lastRenderedPageBreak/>
        <w:t>estudiantes matriculados en colegios oficiales que no cuentan con comedor escolar.</w:t>
      </w:r>
    </w:p>
    <w:p w:rsidR="00E25949" w:rsidRPr="00666BB4" w:rsidRDefault="00E25949" w:rsidP="00E25949">
      <w:pPr>
        <w:pStyle w:val="Ttulo3"/>
        <w:rPr>
          <w:rFonts w:ascii="Times New Roman" w:hAnsi="Times New Roman"/>
        </w:rPr>
      </w:pPr>
      <w:bookmarkStart w:id="42" w:name="_Toc362358061"/>
      <w:r>
        <w:rPr>
          <w:rFonts w:ascii="Times New Roman" w:hAnsi="Times New Roman"/>
        </w:rPr>
        <w:t>3.4</w:t>
      </w:r>
      <w:r w:rsidRPr="00666BB4">
        <w:rPr>
          <w:rFonts w:ascii="Times New Roman" w:hAnsi="Times New Roman"/>
        </w:rPr>
        <w:t>. Proyectos de inversión</w:t>
      </w:r>
      <w:bookmarkEnd w:id="42"/>
    </w:p>
    <w:p w:rsidR="00E25949" w:rsidRPr="00BA20B4" w:rsidRDefault="00E25949" w:rsidP="00E25949">
      <w:pPr>
        <w:rPr>
          <w:rFonts w:ascii="Times New Roman" w:hAnsi="Times New Roman"/>
          <w:color w:val="000000"/>
        </w:rPr>
      </w:pPr>
    </w:p>
    <w:p w:rsidR="00E25949" w:rsidRPr="00AE0EDB" w:rsidRDefault="00E25949" w:rsidP="00E25949">
      <w:pPr>
        <w:jc w:val="both"/>
        <w:rPr>
          <w:rFonts w:ascii="Times New Roman" w:hAnsi="Times New Roman"/>
          <w:color w:val="000000"/>
        </w:rPr>
      </w:pPr>
      <w:r>
        <w:rPr>
          <w:rFonts w:ascii="Times New Roman" w:hAnsi="Times New Roman"/>
          <w:color w:val="000000"/>
        </w:rPr>
        <w:t xml:space="preserve">Los objetivos y metas y las apuestas principales se alcanzan mediante la gestión de la Secretaría de Educación que incluye tanto el componente de funcionamiento como el de la inversión pública. </w:t>
      </w:r>
      <w:r w:rsidRPr="00BA20B4">
        <w:rPr>
          <w:rFonts w:ascii="Times New Roman" w:hAnsi="Times New Roman"/>
          <w:color w:val="000000"/>
        </w:rPr>
        <w:t>En materia de inversión</w:t>
      </w:r>
      <w:r>
        <w:rPr>
          <w:rFonts w:ascii="Times New Roman" w:hAnsi="Times New Roman"/>
          <w:color w:val="000000"/>
        </w:rPr>
        <w:t xml:space="preserve"> el plan </w:t>
      </w:r>
      <w:r w:rsidRPr="00BA20B4">
        <w:rPr>
          <w:rFonts w:ascii="Times New Roman" w:hAnsi="Times New Roman"/>
          <w:color w:val="000000"/>
        </w:rPr>
        <w:t>se concreta en 1</w:t>
      </w:r>
      <w:r>
        <w:rPr>
          <w:rFonts w:ascii="Times New Roman" w:hAnsi="Times New Roman"/>
          <w:color w:val="000000"/>
        </w:rPr>
        <w:t>7</w:t>
      </w:r>
      <w:r w:rsidRPr="00BA20B4">
        <w:rPr>
          <w:rFonts w:ascii="Times New Roman" w:hAnsi="Times New Roman"/>
          <w:color w:val="000000"/>
        </w:rPr>
        <w:t xml:space="preserve"> proyectos en los cuales a partir de las metas de impacto se precisan las metas de producto a </w:t>
      </w:r>
      <w:r>
        <w:rPr>
          <w:rFonts w:ascii="Times New Roman" w:hAnsi="Times New Roman"/>
          <w:color w:val="000000"/>
        </w:rPr>
        <w:t>obtener</w:t>
      </w:r>
      <w:r w:rsidRPr="00BA20B4">
        <w:rPr>
          <w:rFonts w:ascii="Times New Roman" w:hAnsi="Times New Roman"/>
          <w:color w:val="000000"/>
        </w:rPr>
        <w:t xml:space="preserve"> así como las actividades específicas a desarrollar para alcanzarlas. En la tabla siguiente se presenta el objetivo general de cada proyecto y a continuación se exponen las a</w:t>
      </w:r>
      <w:r>
        <w:rPr>
          <w:rFonts w:ascii="Times New Roman" w:hAnsi="Times New Roman"/>
          <w:color w:val="000000"/>
        </w:rPr>
        <w:t>puestas</w:t>
      </w:r>
      <w:r w:rsidRPr="00BA20B4">
        <w:rPr>
          <w:rFonts w:ascii="Times New Roman" w:hAnsi="Times New Roman"/>
          <w:color w:val="000000"/>
        </w:rPr>
        <w:t xml:space="preserve"> prioritarias del plan sectorial.</w:t>
      </w:r>
    </w:p>
    <w:p w:rsidR="00E25949" w:rsidRPr="00BA20B4" w:rsidRDefault="00E25949" w:rsidP="00E25949">
      <w:pPr>
        <w:rPr>
          <w:rFonts w:ascii="Times New Roman" w:hAnsi="Times New Roman"/>
        </w:rPr>
      </w:pPr>
    </w:p>
    <w:tbl>
      <w:tblPr>
        <w:tblStyle w:val="Tablaconcuadrcula"/>
        <w:tblW w:w="0" w:type="auto"/>
        <w:tblLook w:val="00A0" w:firstRow="1" w:lastRow="0" w:firstColumn="1" w:lastColumn="0" w:noHBand="0" w:noVBand="0"/>
      </w:tblPr>
      <w:tblGrid>
        <w:gridCol w:w="2518"/>
        <w:gridCol w:w="6460"/>
      </w:tblGrid>
      <w:tr w:rsidR="00E25949" w:rsidRPr="00281271">
        <w:tc>
          <w:tcPr>
            <w:tcW w:w="2518" w:type="dxa"/>
          </w:tcPr>
          <w:p w:rsidR="00E25949" w:rsidRPr="00281271" w:rsidRDefault="00E25949">
            <w:pPr>
              <w:rPr>
                <w:rFonts w:ascii="Times New Roman" w:hAnsi="Times New Roman"/>
                <w:sz w:val="18"/>
              </w:rPr>
            </w:pPr>
            <w:r w:rsidRPr="00281271">
              <w:rPr>
                <w:rFonts w:ascii="Times New Roman" w:hAnsi="Times New Roman"/>
                <w:sz w:val="18"/>
              </w:rPr>
              <w:t>Proyecto</w:t>
            </w:r>
          </w:p>
        </w:tc>
        <w:tc>
          <w:tcPr>
            <w:tcW w:w="6460" w:type="dxa"/>
          </w:tcPr>
          <w:p w:rsidR="00E25949" w:rsidRPr="00281271" w:rsidRDefault="00E25949">
            <w:pPr>
              <w:rPr>
                <w:rFonts w:ascii="Times New Roman" w:hAnsi="Times New Roman"/>
                <w:sz w:val="18"/>
              </w:rPr>
            </w:pPr>
            <w:r w:rsidRPr="00281271">
              <w:rPr>
                <w:rFonts w:ascii="Times New Roman" w:hAnsi="Times New Roman"/>
                <w:sz w:val="18"/>
              </w:rPr>
              <w:t>Objetivo general</w:t>
            </w:r>
          </w:p>
        </w:tc>
      </w:tr>
      <w:tr w:rsidR="00E25949" w:rsidRPr="00281271">
        <w:tc>
          <w:tcPr>
            <w:tcW w:w="2518" w:type="dxa"/>
          </w:tcPr>
          <w:p w:rsidR="00E25949" w:rsidRPr="00281271" w:rsidRDefault="00E25949">
            <w:pPr>
              <w:rPr>
                <w:rFonts w:ascii="Times New Roman" w:hAnsi="Times New Roman"/>
                <w:sz w:val="18"/>
              </w:rPr>
            </w:pPr>
            <w:r w:rsidRPr="00281271">
              <w:rPr>
                <w:rFonts w:ascii="Times New Roman" w:hAnsi="Times New Roman"/>
                <w:bCs/>
                <w:sz w:val="18"/>
              </w:rPr>
              <w:t>1. Proyecto: Niñas y niños estudiando</w:t>
            </w: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 xml:space="preserve">Reducir la </w:t>
            </w:r>
            <w:r w:rsidRPr="00491CDE">
              <w:rPr>
                <w:rFonts w:ascii="Times New Roman" w:hAnsi="Times New Roman"/>
                <w:bCs/>
                <w:sz w:val="18"/>
              </w:rPr>
              <w:t>inequidad</w:t>
            </w:r>
            <w:r w:rsidRPr="00281271">
              <w:rPr>
                <w:rFonts w:ascii="Times New Roman" w:hAnsi="Times New Roman"/>
                <w:bCs/>
                <w:sz w:val="18"/>
              </w:rPr>
              <w:t xml:space="preserve"> socioeconómica, espacial y cultural mediante acciones que garanticen el acceso, la permanencia, la asistencia, el bienestar y la protección de los niños, las niñas y los jóvenes matriculados en el sistema del Distrito Capital.</w:t>
            </w:r>
          </w:p>
        </w:tc>
      </w:tr>
      <w:tr w:rsidR="00E25949" w:rsidRPr="00281271">
        <w:tc>
          <w:tcPr>
            <w:tcW w:w="2518" w:type="dxa"/>
          </w:tcPr>
          <w:p w:rsidR="00E25949" w:rsidRPr="00281271" w:rsidRDefault="0066640C">
            <w:pPr>
              <w:rPr>
                <w:rFonts w:ascii="Times New Roman" w:hAnsi="Times New Roman"/>
                <w:sz w:val="18"/>
              </w:rPr>
            </w:pPr>
            <w:r>
              <w:rPr>
                <w:rFonts w:ascii="Times New Roman" w:hAnsi="Times New Roman"/>
                <w:sz w:val="18"/>
              </w:rPr>
              <w:t>2</w:t>
            </w:r>
            <w:r w:rsidR="00E25949" w:rsidRPr="00281271">
              <w:rPr>
                <w:rFonts w:ascii="Times New Roman" w:hAnsi="Times New Roman"/>
                <w:sz w:val="18"/>
              </w:rPr>
              <w:t>. Proyecto: Prejardín, jardín y transición: Preescolar de calidad en el sistema educativo oficial</w:t>
            </w: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Atender integralmente con enfoque diferencial a 121.004 niños y niñas de 3 a 5 años en el sector educativo oficial de Bogotá en el cuatrienio2012 - 2016</w:t>
            </w:r>
          </w:p>
        </w:tc>
      </w:tr>
      <w:tr w:rsidR="00E25949" w:rsidRPr="00281271">
        <w:tc>
          <w:tcPr>
            <w:tcW w:w="2518" w:type="dxa"/>
          </w:tcPr>
          <w:p w:rsidR="00E25949" w:rsidRPr="00281271" w:rsidRDefault="0066640C" w:rsidP="00194E7F">
            <w:pPr>
              <w:jc w:val="both"/>
              <w:rPr>
                <w:rFonts w:ascii="Times New Roman" w:hAnsi="Times New Roman"/>
                <w:color w:val="000000"/>
                <w:sz w:val="18"/>
              </w:rPr>
            </w:pPr>
            <w:r>
              <w:rPr>
                <w:rFonts w:ascii="Times New Roman" w:hAnsi="Times New Roman"/>
                <w:color w:val="000000"/>
                <w:sz w:val="18"/>
              </w:rPr>
              <w:t>3</w:t>
            </w:r>
            <w:r w:rsidR="00E25949" w:rsidRPr="00281271">
              <w:rPr>
                <w:rFonts w:ascii="Times New Roman" w:hAnsi="Times New Roman"/>
                <w:color w:val="000000"/>
                <w:sz w:val="18"/>
              </w:rPr>
              <w:t>. Proyecto Hábitat escolar</w:t>
            </w:r>
          </w:p>
          <w:p w:rsidR="00E25949" w:rsidRPr="00281271" w:rsidRDefault="00E25949">
            <w:pPr>
              <w:rPr>
                <w:rFonts w:ascii="Times New Roman" w:hAnsi="Times New Roman"/>
                <w:sz w:val="18"/>
              </w:rPr>
            </w:pPr>
          </w:p>
        </w:tc>
        <w:tc>
          <w:tcPr>
            <w:tcW w:w="6460" w:type="dxa"/>
          </w:tcPr>
          <w:p w:rsidR="00E25949" w:rsidRPr="00281271" w:rsidRDefault="00E25949" w:rsidP="00632A3F">
            <w:pPr>
              <w:jc w:val="both"/>
              <w:rPr>
                <w:rFonts w:ascii="Times New Roman" w:hAnsi="Times New Roman"/>
                <w:sz w:val="18"/>
              </w:rPr>
            </w:pPr>
            <w:r w:rsidRPr="00281271">
              <w:rPr>
                <w:rFonts w:ascii="Times New Roman" w:hAnsi="Times New Roman"/>
                <w:color w:val="000000"/>
                <w:sz w:val="18"/>
              </w:rPr>
              <w:t xml:space="preserve">Construir, dotar y poner en funcionamiento la infraestructura educativa necesaria para garantizar el derecho a la educación y la prestación del servicio educativo a los niños, niñas y </w:t>
            </w:r>
            <w:r w:rsidR="00632A3F">
              <w:rPr>
                <w:rFonts w:ascii="Times New Roman" w:hAnsi="Times New Roman"/>
                <w:color w:val="000000"/>
                <w:sz w:val="18"/>
              </w:rPr>
              <w:t>jóvene</w:t>
            </w:r>
            <w:r w:rsidRPr="00281271">
              <w:rPr>
                <w:rFonts w:ascii="Times New Roman" w:hAnsi="Times New Roman"/>
                <w:color w:val="000000"/>
                <w:sz w:val="18"/>
              </w:rPr>
              <w:t>s en los niveles de pre-escolar, básica y media.</w:t>
            </w:r>
          </w:p>
        </w:tc>
      </w:tr>
      <w:tr w:rsidR="00E25949" w:rsidRPr="00281271">
        <w:tc>
          <w:tcPr>
            <w:tcW w:w="2518" w:type="dxa"/>
          </w:tcPr>
          <w:p w:rsidR="00E25949" w:rsidRPr="00281271" w:rsidRDefault="0066640C" w:rsidP="00171F08">
            <w:pPr>
              <w:rPr>
                <w:rFonts w:ascii="Times New Roman" w:hAnsi="Times New Roman"/>
                <w:color w:val="000000"/>
                <w:sz w:val="18"/>
              </w:rPr>
            </w:pPr>
            <w:r>
              <w:rPr>
                <w:rFonts w:ascii="Times New Roman" w:hAnsi="Times New Roman"/>
                <w:color w:val="000000"/>
                <w:sz w:val="18"/>
              </w:rPr>
              <w:t>4</w:t>
            </w:r>
            <w:r w:rsidR="00E25949" w:rsidRPr="00281271">
              <w:rPr>
                <w:rFonts w:ascii="Times New Roman" w:hAnsi="Times New Roman"/>
                <w:color w:val="000000"/>
                <w:sz w:val="18"/>
              </w:rPr>
              <w:t>.Proyecto: Maestros empoderados con bienestar y mejor formación</w:t>
            </w:r>
          </w:p>
          <w:p w:rsidR="00E25949" w:rsidRPr="00281271" w:rsidRDefault="00E25949" w:rsidP="00171F08">
            <w:pPr>
              <w:rPr>
                <w:rFonts w:ascii="Times New Roman" w:hAnsi="Times New Roman"/>
                <w:sz w:val="18"/>
              </w:rPr>
            </w:pP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Garantizar a los docentes y directivos docentes condiciones laborales y motivacionales para su empoderamiento como sujetos protagonistas de las transformaciones pedagógicas para la calidad de la educación y el reconocimiento social de su labor.</w:t>
            </w:r>
          </w:p>
        </w:tc>
      </w:tr>
      <w:tr w:rsidR="00E25949" w:rsidRPr="00281271">
        <w:tc>
          <w:tcPr>
            <w:tcW w:w="2518" w:type="dxa"/>
          </w:tcPr>
          <w:p w:rsidR="00E25949" w:rsidRPr="00281271" w:rsidRDefault="0066640C" w:rsidP="00194E7F">
            <w:pPr>
              <w:rPr>
                <w:rFonts w:ascii="Times New Roman" w:hAnsi="Times New Roman"/>
                <w:sz w:val="18"/>
              </w:rPr>
            </w:pPr>
            <w:r>
              <w:rPr>
                <w:rFonts w:ascii="Times New Roman" w:hAnsi="Times New Roman"/>
                <w:sz w:val="18"/>
              </w:rPr>
              <w:t>5</w:t>
            </w:r>
            <w:r w:rsidR="00E25949" w:rsidRPr="00281271">
              <w:rPr>
                <w:rFonts w:ascii="Times New Roman" w:hAnsi="Times New Roman"/>
                <w:sz w:val="18"/>
              </w:rPr>
              <w:t>. Proyecto: Fortalecimiento académico</w:t>
            </w:r>
          </w:p>
          <w:p w:rsidR="00E25949" w:rsidRPr="00281271" w:rsidRDefault="00E25949">
            <w:pPr>
              <w:rPr>
                <w:rFonts w:ascii="Times New Roman" w:hAnsi="Times New Roman"/>
                <w:sz w:val="18"/>
              </w:rPr>
            </w:pPr>
          </w:p>
        </w:tc>
        <w:tc>
          <w:tcPr>
            <w:tcW w:w="6460" w:type="dxa"/>
          </w:tcPr>
          <w:p w:rsidR="00E25949" w:rsidRPr="00281271" w:rsidRDefault="00E25949" w:rsidP="00F025AF">
            <w:pPr>
              <w:jc w:val="both"/>
              <w:rPr>
                <w:rFonts w:ascii="Times New Roman" w:hAnsi="Times New Roman"/>
                <w:sz w:val="18"/>
              </w:rPr>
            </w:pPr>
            <w:r w:rsidRPr="00281271">
              <w:rPr>
                <w:rFonts w:ascii="Times New Roman" w:hAnsi="Times New Roman"/>
                <w:bCs/>
                <w:sz w:val="18"/>
              </w:rPr>
              <w:t xml:space="preserve">Diseñar, construir e implementar estrategias pedagógicas, curriculares y administrativas que propendan por el fortalecimiento académico para  una educación de calidad y excelencia desde la construcción de saberes, que redunden en la disminución de la </w:t>
            </w:r>
            <w:r>
              <w:rPr>
                <w:rFonts w:ascii="Times New Roman" w:hAnsi="Times New Roman"/>
                <w:bCs/>
                <w:sz w:val="18"/>
              </w:rPr>
              <w:t xml:space="preserve">inequidad </w:t>
            </w:r>
            <w:r w:rsidRPr="00281271">
              <w:rPr>
                <w:rFonts w:ascii="Times New Roman" w:hAnsi="Times New Roman"/>
                <w:bCs/>
                <w:sz w:val="18"/>
              </w:rPr>
              <w:t>y la discriminación en los colegios oficiales del Distrito Capital.</w:t>
            </w:r>
          </w:p>
        </w:tc>
      </w:tr>
      <w:tr w:rsidR="00E25949" w:rsidRPr="00281271">
        <w:tc>
          <w:tcPr>
            <w:tcW w:w="2518" w:type="dxa"/>
          </w:tcPr>
          <w:p w:rsidR="00E25949" w:rsidRPr="00281271" w:rsidRDefault="0066640C">
            <w:pPr>
              <w:rPr>
                <w:rFonts w:ascii="Times New Roman" w:hAnsi="Times New Roman"/>
                <w:sz w:val="18"/>
              </w:rPr>
            </w:pPr>
            <w:r>
              <w:rPr>
                <w:rFonts w:ascii="Times New Roman" w:hAnsi="Times New Roman"/>
                <w:sz w:val="18"/>
              </w:rPr>
              <w:t>6</w:t>
            </w:r>
            <w:r w:rsidR="00E25949" w:rsidRPr="00281271">
              <w:rPr>
                <w:rFonts w:ascii="Times New Roman" w:hAnsi="Times New Roman"/>
                <w:sz w:val="18"/>
              </w:rPr>
              <w:t>. Proyecto: Educación para la ciudadanía y la convivencia</w:t>
            </w:r>
          </w:p>
        </w:tc>
        <w:tc>
          <w:tcPr>
            <w:tcW w:w="6460" w:type="dxa"/>
          </w:tcPr>
          <w:p w:rsidR="00E25949" w:rsidRPr="00281271" w:rsidRDefault="00E25949" w:rsidP="00A76072">
            <w:pPr>
              <w:jc w:val="both"/>
              <w:rPr>
                <w:rFonts w:ascii="Times New Roman" w:hAnsi="Times New Roman"/>
                <w:sz w:val="18"/>
              </w:rPr>
            </w:pPr>
            <w:r w:rsidRPr="00281271">
              <w:rPr>
                <w:rFonts w:ascii="Times New Roman" w:hAnsi="Times New Roman"/>
                <w:bCs/>
                <w:sz w:val="18"/>
              </w:rPr>
              <w:t>Contribuir a la educación de estudiantes como ciudadanos con identidad, conciencia de derechos</w:t>
            </w:r>
            <w:r>
              <w:rPr>
                <w:rFonts w:ascii="Times New Roman" w:hAnsi="Times New Roman"/>
                <w:bCs/>
                <w:sz w:val="18"/>
              </w:rPr>
              <w:t xml:space="preserve"> y respeto por los de otros</w:t>
            </w:r>
            <w:r w:rsidRPr="00281271">
              <w:rPr>
                <w:rFonts w:ascii="Times New Roman" w:hAnsi="Times New Roman"/>
                <w:bCs/>
                <w:sz w:val="18"/>
              </w:rPr>
              <w:t xml:space="preserve">, </w:t>
            </w:r>
            <w:r>
              <w:rPr>
                <w:rFonts w:ascii="Times New Roman" w:hAnsi="Times New Roman"/>
                <w:bCs/>
                <w:sz w:val="18"/>
              </w:rPr>
              <w:t xml:space="preserve">seres con sentido de la vida, el cuerpo y la naturaleza, que manejan sus emociones, que </w:t>
            </w:r>
            <w:r w:rsidRPr="00281271">
              <w:rPr>
                <w:rFonts w:ascii="Times New Roman" w:hAnsi="Times New Roman"/>
                <w:bCs/>
                <w:sz w:val="18"/>
              </w:rPr>
              <w:t>participa</w:t>
            </w:r>
            <w:r>
              <w:rPr>
                <w:rFonts w:ascii="Times New Roman" w:hAnsi="Times New Roman"/>
                <w:bCs/>
                <w:sz w:val="18"/>
              </w:rPr>
              <w:t xml:space="preserve">n y valoran las relaciones armónicas de convivencia </w:t>
            </w:r>
            <w:r w:rsidRPr="00281271">
              <w:rPr>
                <w:rFonts w:ascii="Times New Roman" w:hAnsi="Times New Roman"/>
                <w:bCs/>
                <w:sz w:val="18"/>
              </w:rPr>
              <w:t>en los ambientes escolares del Distrito Capital.</w:t>
            </w:r>
          </w:p>
        </w:tc>
      </w:tr>
      <w:tr w:rsidR="00E25949" w:rsidRPr="00281271">
        <w:tc>
          <w:tcPr>
            <w:tcW w:w="2518" w:type="dxa"/>
          </w:tcPr>
          <w:p w:rsidR="00E25949" w:rsidRPr="00281271" w:rsidRDefault="0066640C">
            <w:pPr>
              <w:rPr>
                <w:rFonts w:ascii="Times New Roman" w:hAnsi="Times New Roman"/>
                <w:sz w:val="18"/>
              </w:rPr>
            </w:pPr>
            <w:r>
              <w:rPr>
                <w:rFonts w:ascii="Times New Roman" w:hAnsi="Times New Roman"/>
                <w:sz w:val="18"/>
              </w:rPr>
              <w:t>7</w:t>
            </w:r>
            <w:r w:rsidR="00E25949" w:rsidRPr="00281271">
              <w:rPr>
                <w:rFonts w:ascii="Times New Roman" w:hAnsi="Times New Roman"/>
                <w:sz w:val="18"/>
              </w:rPr>
              <w:t>. Proyecto: Tecnologías de la información y las comunicaciones</w:t>
            </w: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 xml:space="preserve">Desarrollar y fortalecer los servicios de Tecnología de Información y las Comunicaciones para la disminución de la brecha digital, la apropiación académica </w:t>
            </w:r>
            <w:r>
              <w:rPr>
                <w:rFonts w:ascii="Times New Roman" w:hAnsi="Times New Roman"/>
                <w:bCs/>
                <w:sz w:val="18"/>
              </w:rPr>
              <w:t xml:space="preserve">de </w:t>
            </w:r>
            <w:r w:rsidRPr="00281271">
              <w:rPr>
                <w:rFonts w:ascii="Times New Roman" w:hAnsi="Times New Roman"/>
                <w:bCs/>
                <w:sz w:val="18"/>
              </w:rPr>
              <w:t>estos servicios en la comunidad educativa y el cumplimiento de las necesidades y expectativas de los niños, niñas, jóvenes, maestras del Distrito y funcionarios administrativos de la SED</w:t>
            </w:r>
            <w:r>
              <w:rPr>
                <w:rFonts w:ascii="Times New Roman" w:hAnsi="Times New Roman"/>
                <w:bCs/>
                <w:sz w:val="18"/>
              </w:rPr>
              <w:t>.</w:t>
            </w:r>
          </w:p>
        </w:tc>
      </w:tr>
      <w:tr w:rsidR="00E25949" w:rsidRPr="00281271">
        <w:tc>
          <w:tcPr>
            <w:tcW w:w="2518" w:type="dxa"/>
          </w:tcPr>
          <w:p w:rsidR="00E25949" w:rsidRPr="00281271" w:rsidRDefault="0066640C">
            <w:pPr>
              <w:rPr>
                <w:rFonts w:ascii="Times New Roman" w:hAnsi="Times New Roman"/>
                <w:sz w:val="18"/>
              </w:rPr>
            </w:pPr>
            <w:r>
              <w:rPr>
                <w:rFonts w:ascii="Times New Roman" w:hAnsi="Times New Roman"/>
                <w:sz w:val="18"/>
              </w:rPr>
              <w:t>8</w:t>
            </w:r>
            <w:r w:rsidR="00E25949" w:rsidRPr="00281271">
              <w:rPr>
                <w:rFonts w:ascii="Times New Roman" w:hAnsi="Times New Roman"/>
                <w:sz w:val="18"/>
              </w:rPr>
              <w:t xml:space="preserve">. Proyecto: Jornada educativa de 40 horas semanales para la excelencia académica y la formación integral, y jornadas únicas </w:t>
            </w: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Transformar las lógicas y contenidos del aprendizaje de los niños, niñas y jóvenes del sistema educativo oficial de la ciudad, ofreciendo 40 horas semanales en las escuelas para fortalecer el currículo en las áreas básicas académicas y en la formación integral de los estudiantes.</w:t>
            </w:r>
          </w:p>
        </w:tc>
      </w:tr>
      <w:tr w:rsidR="00E25949" w:rsidRPr="00281271">
        <w:tc>
          <w:tcPr>
            <w:tcW w:w="2518" w:type="dxa"/>
          </w:tcPr>
          <w:p w:rsidR="00E25949" w:rsidRPr="00281271" w:rsidRDefault="0066640C">
            <w:pPr>
              <w:rPr>
                <w:rFonts w:ascii="Times New Roman" w:hAnsi="Times New Roman"/>
                <w:sz w:val="18"/>
              </w:rPr>
            </w:pPr>
            <w:r>
              <w:rPr>
                <w:rFonts w:ascii="Times New Roman" w:hAnsi="Times New Roman"/>
                <w:sz w:val="18"/>
              </w:rPr>
              <w:t>9</w:t>
            </w:r>
            <w:r w:rsidR="00E25949" w:rsidRPr="00281271">
              <w:rPr>
                <w:rFonts w:ascii="Times New Roman" w:hAnsi="Times New Roman"/>
                <w:sz w:val="18"/>
              </w:rPr>
              <w:t>. Proyecto: Media fortalecida y mayor acceso a la educación superior</w:t>
            </w: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Transformar y fortalecer la educación media distrital mediante la consolidación de una oferta diversa, electiva y homologable con educación superior que promueva la continuidad de los estudiantes en este nivel educativo, para generar en los jóvenes mayores oportunidades en el mundo socio-productivo.</w:t>
            </w:r>
          </w:p>
        </w:tc>
      </w:tr>
      <w:tr w:rsidR="00E25949" w:rsidRPr="00281271">
        <w:tc>
          <w:tcPr>
            <w:tcW w:w="2518" w:type="dxa"/>
          </w:tcPr>
          <w:p w:rsidR="00E25949" w:rsidRPr="00281271" w:rsidRDefault="0066640C" w:rsidP="00194E7F">
            <w:pPr>
              <w:rPr>
                <w:rFonts w:ascii="Times New Roman" w:hAnsi="Times New Roman"/>
                <w:sz w:val="18"/>
              </w:rPr>
            </w:pPr>
            <w:r>
              <w:rPr>
                <w:rFonts w:ascii="Times New Roman" w:hAnsi="Times New Roman"/>
                <w:sz w:val="18"/>
              </w:rPr>
              <w:t>10</w:t>
            </w:r>
            <w:r w:rsidR="00E25949" w:rsidRPr="00281271">
              <w:rPr>
                <w:rFonts w:ascii="Times New Roman" w:hAnsi="Times New Roman"/>
                <w:sz w:val="18"/>
              </w:rPr>
              <w:t>. Proyecto: Enfoques diferenciales</w:t>
            </w:r>
          </w:p>
          <w:p w:rsidR="00E25949" w:rsidRPr="00281271" w:rsidRDefault="00E25949">
            <w:pPr>
              <w:rPr>
                <w:rFonts w:ascii="Times New Roman" w:hAnsi="Times New Roman"/>
                <w:sz w:val="18"/>
              </w:rPr>
            </w:pP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sz w:val="18"/>
              </w:rPr>
              <w:t>Promover, en el marco de la garantía de los derechos, procesos educativos pertinentes y diferenciales que aseguren la inclusión y el reconocimiento con equidad en la escuela y que contribuyan a la construcción de una cultura de respeto de los Derechos Humanos.</w:t>
            </w:r>
          </w:p>
        </w:tc>
      </w:tr>
      <w:tr w:rsidR="00E25949" w:rsidRPr="00281271">
        <w:tc>
          <w:tcPr>
            <w:tcW w:w="2518" w:type="dxa"/>
          </w:tcPr>
          <w:p w:rsidR="00E25949" w:rsidRPr="00281271" w:rsidRDefault="0066640C" w:rsidP="00194E7F">
            <w:pPr>
              <w:jc w:val="both"/>
              <w:rPr>
                <w:rFonts w:ascii="Times New Roman" w:hAnsi="Times New Roman"/>
                <w:color w:val="000000"/>
                <w:sz w:val="18"/>
              </w:rPr>
            </w:pPr>
            <w:r>
              <w:rPr>
                <w:rFonts w:ascii="Times New Roman" w:hAnsi="Times New Roman"/>
                <w:color w:val="000000"/>
                <w:sz w:val="18"/>
              </w:rPr>
              <w:t>1</w:t>
            </w:r>
            <w:r w:rsidR="007662AB">
              <w:rPr>
                <w:rFonts w:ascii="Times New Roman" w:hAnsi="Times New Roman"/>
                <w:color w:val="000000"/>
                <w:sz w:val="18"/>
              </w:rPr>
              <w:t>1</w:t>
            </w:r>
            <w:r w:rsidR="00E25949" w:rsidRPr="00281271">
              <w:rPr>
                <w:rFonts w:ascii="Times New Roman" w:hAnsi="Times New Roman"/>
                <w:color w:val="000000"/>
                <w:sz w:val="18"/>
              </w:rPr>
              <w:t>. Proyecto: Pensar la educación</w:t>
            </w:r>
          </w:p>
          <w:p w:rsidR="00E25949" w:rsidRPr="00281271" w:rsidRDefault="00E25949">
            <w:pPr>
              <w:rPr>
                <w:rFonts w:ascii="Times New Roman" w:hAnsi="Times New Roman"/>
                <w:sz w:val="18"/>
              </w:rPr>
            </w:pP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 xml:space="preserve">Implementar en la ciudad un Sistema de Evaluación Integral y permanente que le posibilite al sector y a la comunidad educativa oficial disponer de elementos de juicio para evaluar y valorar las prácticas educativas vigentes en la ciudad y el papel de los </w:t>
            </w:r>
            <w:r w:rsidRPr="00281271">
              <w:rPr>
                <w:rFonts w:ascii="Times New Roman" w:hAnsi="Times New Roman"/>
                <w:bCs/>
                <w:sz w:val="18"/>
              </w:rPr>
              <w:lastRenderedPageBreak/>
              <w:t>diferentes actores y roles que allí tienen presencia y para proponer ajustes y cambios en los modelos y prácticas de cara a lograr un mejor impacto en la calidad.</w:t>
            </w:r>
          </w:p>
        </w:tc>
      </w:tr>
      <w:tr w:rsidR="00E25949" w:rsidRPr="00281271">
        <w:tc>
          <w:tcPr>
            <w:tcW w:w="2518" w:type="dxa"/>
          </w:tcPr>
          <w:p w:rsidR="00E25949" w:rsidRPr="00281271" w:rsidRDefault="0066640C" w:rsidP="00194E7F">
            <w:pPr>
              <w:rPr>
                <w:rFonts w:ascii="Times New Roman" w:hAnsi="Times New Roman"/>
                <w:sz w:val="18"/>
              </w:rPr>
            </w:pPr>
            <w:r>
              <w:rPr>
                <w:rFonts w:ascii="Times New Roman" w:hAnsi="Times New Roman"/>
                <w:sz w:val="18"/>
              </w:rPr>
              <w:lastRenderedPageBreak/>
              <w:t>1</w:t>
            </w:r>
            <w:r w:rsidR="007662AB">
              <w:rPr>
                <w:rFonts w:ascii="Times New Roman" w:hAnsi="Times New Roman"/>
                <w:sz w:val="18"/>
              </w:rPr>
              <w:t>2</w:t>
            </w:r>
            <w:r w:rsidR="00E25949" w:rsidRPr="00281271">
              <w:rPr>
                <w:rFonts w:ascii="Times New Roman" w:hAnsi="Times New Roman"/>
                <w:sz w:val="18"/>
              </w:rPr>
              <w:t>. Proyecto: Diálogo social y participación de la comunidad educativa</w:t>
            </w:r>
          </w:p>
          <w:p w:rsidR="00E25949" w:rsidRPr="00281271" w:rsidRDefault="00E25949">
            <w:pPr>
              <w:rPr>
                <w:rFonts w:ascii="Times New Roman" w:hAnsi="Times New Roman"/>
                <w:sz w:val="18"/>
              </w:rPr>
            </w:pP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color w:val="000000"/>
                <w:sz w:val="18"/>
              </w:rPr>
              <w:t>Fortalecer espacios de diálogo y  participación con distintos actores de la comunidad educativa y de la comunidad en general, que contribuyan a la apropiación e implementación de las políticas educativas y del Plan de Desarrollo para avanzar en la consolidación  de la Bogotá Humana.</w:t>
            </w:r>
          </w:p>
        </w:tc>
      </w:tr>
      <w:tr w:rsidR="00E25949" w:rsidRPr="00281271">
        <w:tc>
          <w:tcPr>
            <w:tcW w:w="2518" w:type="dxa"/>
          </w:tcPr>
          <w:p w:rsidR="00E25949" w:rsidRPr="00281271" w:rsidRDefault="0066640C" w:rsidP="00194E7F">
            <w:pPr>
              <w:jc w:val="both"/>
              <w:rPr>
                <w:rFonts w:ascii="Times New Roman" w:hAnsi="Times New Roman"/>
                <w:bCs/>
                <w:sz w:val="18"/>
              </w:rPr>
            </w:pPr>
            <w:r>
              <w:rPr>
                <w:rFonts w:ascii="Times New Roman" w:hAnsi="Times New Roman"/>
                <w:bCs/>
                <w:sz w:val="18"/>
              </w:rPr>
              <w:t>1</w:t>
            </w:r>
            <w:r w:rsidR="007662AB">
              <w:rPr>
                <w:rFonts w:ascii="Times New Roman" w:hAnsi="Times New Roman"/>
                <w:bCs/>
                <w:sz w:val="18"/>
              </w:rPr>
              <w:t>3</w:t>
            </w:r>
            <w:r w:rsidR="00E25949" w:rsidRPr="00281271">
              <w:rPr>
                <w:rFonts w:ascii="Times New Roman" w:hAnsi="Times New Roman"/>
                <w:bCs/>
                <w:sz w:val="18"/>
              </w:rPr>
              <w:t>. Proyecto: Mejor gestión</w:t>
            </w:r>
          </w:p>
          <w:p w:rsidR="00E25949" w:rsidRPr="00281271" w:rsidRDefault="00E25949">
            <w:pPr>
              <w:rPr>
                <w:rFonts w:ascii="Times New Roman" w:hAnsi="Times New Roman"/>
                <w:sz w:val="18"/>
              </w:rPr>
            </w:pP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Transformar el modelo de gestión y operación de la SED a partir de la implementación de cambios que impacten de manera integrada y armónica las distintas dimensiones de la organización (estructura, procesos y procedimientos, sistemas de información, talento humano y cultura organizacional) en los niveles central, local e institucional, con el fin de mejorar la gestión en términos de eficiencia, eficacia y transparencia para contribuir a asegurar la prestación del servicio educativo con altos niveles de calidad.</w:t>
            </w:r>
          </w:p>
        </w:tc>
      </w:tr>
      <w:tr w:rsidR="00E25949" w:rsidRPr="00281271">
        <w:tc>
          <w:tcPr>
            <w:tcW w:w="2518" w:type="dxa"/>
          </w:tcPr>
          <w:p w:rsidR="00E25949" w:rsidRPr="00281271" w:rsidRDefault="0066640C" w:rsidP="00194E7F">
            <w:pPr>
              <w:jc w:val="both"/>
              <w:rPr>
                <w:rFonts w:ascii="Times New Roman" w:hAnsi="Times New Roman"/>
                <w:bCs/>
                <w:sz w:val="18"/>
              </w:rPr>
            </w:pPr>
            <w:r>
              <w:rPr>
                <w:rFonts w:ascii="Times New Roman" w:hAnsi="Times New Roman"/>
                <w:bCs/>
                <w:sz w:val="18"/>
              </w:rPr>
              <w:t>1</w:t>
            </w:r>
            <w:r w:rsidR="007662AB">
              <w:rPr>
                <w:rFonts w:ascii="Times New Roman" w:hAnsi="Times New Roman"/>
                <w:bCs/>
                <w:sz w:val="18"/>
              </w:rPr>
              <w:t>4</w:t>
            </w:r>
            <w:r w:rsidR="00E25949" w:rsidRPr="00281271">
              <w:rPr>
                <w:rFonts w:ascii="Times New Roman" w:hAnsi="Times New Roman"/>
                <w:bCs/>
                <w:sz w:val="18"/>
              </w:rPr>
              <w:t>. Proyecto: Resignificación de las miradas de la educación</w:t>
            </w:r>
          </w:p>
          <w:p w:rsidR="00E25949" w:rsidRPr="00281271" w:rsidRDefault="00E25949">
            <w:pPr>
              <w:rPr>
                <w:rFonts w:ascii="Times New Roman" w:hAnsi="Times New Roman"/>
                <w:sz w:val="18"/>
              </w:rPr>
            </w:pP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 xml:space="preserve">Consolidar un modelo de gestión de la comunicación con perspectiva en derechos, género e incluyente, en permanente innovación y creatividad, para todos los niveles y públicos de la SED, que propenda por una educación de calidad, creativa y posicionada en la agenda pública como el primer factor de cambio que genera capacidades en los ciudadanos para la superación de la </w:t>
            </w:r>
            <w:r w:rsidRPr="00491CDE">
              <w:rPr>
                <w:rFonts w:ascii="Times New Roman" w:hAnsi="Times New Roman"/>
                <w:bCs/>
                <w:sz w:val="18"/>
              </w:rPr>
              <w:t>inequidad</w:t>
            </w:r>
            <w:r w:rsidRPr="00281271">
              <w:rPr>
                <w:rFonts w:ascii="Times New Roman" w:hAnsi="Times New Roman"/>
                <w:bCs/>
                <w:sz w:val="18"/>
              </w:rPr>
              <w:t xml:space="preserve"> social y el desarrollo de la ciudad.</w:t>
            </w:r>
          </w:p>
        </w:tc>
      </w:tr>
      <w:tr w:rsidR="00E25949" w:rsidRPr="00281271">
        <w:tc>
          <w:tcPr>
            <w:tcW w:w="2518" w:type="dxa"/>
          </w:tcPr>
          <w:p w:rsidR="00E25949" w:rsidRPr="00281271" w:rsidRDefault="007662AB" w:rsidP="00194E7F">
            <w:pPr>
              <w:rPr>
                <w:rFonts w:ascii="Times New Roman" w:hAnsi="Times New Roman"/>
                <w:sz w:val="18"/>
              </w:rPr>
            </w:pPr>
            <w:r>
              <w:rPr>
                <w:rFonts w:ascii="Times New Roman" w:hAnsi="Times New Roman"/>
                <w:sz w:val="18"/>
              </w:rPr>
              <w:t>15</w:t>
            </w:r>
            <w:r w:rsidR="00E25949" w:rsidRPr="00281271">
              <w:rPr>
                <w:rFonts w:ascii="Times New Roman" w:hAnsi="Times New Roman"/>
                <w:sz w:val="18"/>
              </w:rPr>
              <w:t>. Proyecto: Administración del talento humano</w:t>
            </w:r>
          </w:p>
          <w:p w:rsidR="00E25949" w:rsidRPr="00281271" w:rsidRDefault="00E25949">
            <w:pPr>
              <w:rPr>
                <w:rFonts w:ascii="Times New Roman" w:hAnsi="Times New Roman"/>
                <w:sz w:val="18"/>
              </w:rPr>
            </w:pPr>
          </w:p>
        </w:tc>
        <w:tc>
          <w:tcPr>
            <w:tcW w:w="6460" w:type="dxa"/>
          </w:tcPr>
          <w:p w:rsidR="00E25949" w:rsidRPr="00281271" w:rsidRDefault="00E25949" w:rsidP="00FD25E9">
            <w:pPr>
              <w:jc w:val="both"/>
              <w:rPr>
                <w:rFonts w:ascii="Times New Roman" w:hAnsi="Times New Roman"/>
                <w:sz w:val="18"/>
              </w:rPr>
            </w:pPr>
            <w:r w:rsidRPr="00281271">
              <w:rPr>
                <w:rFonts w:ascii="Times New Roman" w:hAnsi="Times New Roman"/>
                <w:bCs/>
                <w:sz w:val="18"/>
              </w:rPr>
              <w:t>Garantizar al personal docente y administrativo que desarrolla actividades organizacionales requeridas para el normal funcionamiento de los establecimientos educativos, el pago de sus salarios, prestaciones sociales y demás derechos inherentes a la  prestación  del servicio educativo en el Distrito Capital, al igual que propender por el bienestar del funcionario y el de sus familias como factor determinante de una mejor calidad educativa.</w:t>
            </w:r>
          </w:p>
        </w:tc>
      </w:tr>
      <w:tr w:rsidR="007662AB" w:rsidRPr="00281271" w:rsidTr="008D381A">
        <w:tc>
          <w:tcPr>
            <w:tcW w:w="2518" w:type="dxa"/>
          </w:tcPr>
          <w:p w:rsidR="007662AB" w:rsidRPr="00281271" w:rsidRDefault="007662AB" w:rsidP="008D381A">
            <w:pPr>
              <w:rPr>
                <w:rFonts w:ascii="Times New Roman" w:hAnsi="Times New Roman"/>
                <w:bCs/>
                <w:sz w:val="18"/>
              </w:rPr>
            </w:pPr>
            <w:r>
              <w:rPr>
                <w:rFonts w:ascii="Times New Roman" w:hAnsi="Times New Roman"/>
                <w:bCs/>
                <w:sz w:val="18"/>
              </w:rPr>
              <w:t>16</w:t>
            </w:r>
            <w:r w:rsidRPr="00281271">
              <w:rPr>
                <w:rFonts w:ascii="Times New Roman" w:hAnsi="Times New Roman"/>
                <w:bCs/>
                <w:sz w:val="18"/>
              </w:rPr>
              <w:t>. Proyecto: Subsidios a la demanda educativa</w:t>
            </w:r>
          </w:p>
          <w:p w:rsidR="007662AB" w:rsidRPr="00281271" w:rsidRDefault="007662AB" w:rsidP="008D381A">
            <w:pPr>
              <w:rPr>
                <w:rFonts w:ascii="Times New Roman" w:hAnsi="Times New Roman"/>
                <w:sz w:val="18"/>
              </w:rPr>
            </w:pPr>
          </w:p>
        </w:tc>
        <w:tc>
          <w:tcPr>
            <w:tcW w:w="6460" w:type="dxa"/>
          </w:tcPr>
          <w:p w:rsidR="007662AB" w:rsidRPr="00281271" w:rsidRDefault="007662AB" w:rsidP="00632A3F">
            <w:pPr>
              <w:jc w:val="both"/>
              <w:rPr>
                <w:rFonts w:ascii="Times New Roman" w:hAnsi="Times New Roman"/>
                <w:sz w:val="18"/>
              </w:rPr>
            </w:pPr>
            <w:r w:rsidRPr="00281271">
              <w:rPr>
                <w:rFonts w:ascii="Times New Roman" w:hAnsi="Times New Roman"/>
                <w:bCs/>
                <w:sz w:val="18"/>
              </w:rPr>
              <w:t>Brindar a través de las estrategias de colegios en convenio y colegios en concesión, los medios de acceso y permanencia</w:t>
            </w:r>
            <w:r>
              <w:rPr>
                <w:rFonts w:ascii="Times New Roman" w:hAnsi="Times New Roman"/>
                <w:bCs/>
                <w:sz w:val="18"/>
              </w:rPr>
              <w:t xml:space="preserve"> complementarios</w:t>
            </w:r>
            <w:r w:rsidRPr="00281271">
              <w:rPr>
                <w:rFonts w:ascii="Times New Roman" w:hAnsi="Times New Roman"/>
                <w:bCs/>
                <w:sz w:val="18"/>
              </w:rPr>
              <w:t xml:space="preserve"> que garanticen el ejercicio efectivo del  derecho a la educación preescolar, básica y media en el sistema educativo oficial de los niños, niñas y </w:t>
            </w:r>
            <w:r w:rsidR="00632A3F">
              <w:rPr>
                <w:rFonts w:ascii="Times New Roman" w:hAnsi="Times New Roman"/>
                <w:bCs/>
                <w:sz w:val="18"/>
              </w:rPr>
              <w:t>jóven</w:t>
            </w:r>
            <w:r w:rsidRPr="00281271">
              <w:rPr>
                <w:rFonts w:ascii="Times New Roman" w:hAnsi="Times New Roman"/>
                <w:bCs/>
                <w:sz w:val="18"/>
              </w:rPr>
              <w:t>es del Distrito Capital.</w:t>
            </w:r>
          </w:p>
        </w:tc>
      </w:tr>
      <w:tr w:rsidR="00E25949" w:rsidRPr="00281271">
        <w:tblPrEx>
          <w:tblLook w:val="04A0" w:firstRow="1" w:lastRow="0" w:firstColumn="1" w:lastColumn="0" w:noHBand="0" w:noVBand="1"/>
        </w:tblPrEx>
        <w:tc>
          <w:tcPr>
            <w:tcW w:w="2518" w:type="dxa"/>
          </w:tcPr>
          <w:p w:rsidR="00E25949" w:rsidRPr="00281271" w:rsidRDefault="00E25949" w:rsidP="00194E7F">
            <w:pPr>
              <w:rPr>
                <w:rFonts w:ascii="Times New Roman" w:hAnsi="Times New Roman"/>
                <w:sz w:val="18"/>
              </w:rPr>
            </w:pPr>
            <w:r>
              <w:rPr>
                <w:rFonts w:ascii="Times New Roman" w:hAnsi="Times New Roman"/>
                <w:sz w:val="18"/>
              </w:rPr>
              <w:t xml:space="preserve">17. Fortalecimiento de la transparencia </w:t>
            </w:r>
          </w:p>
        </w:tc>
        <w:tc>
          <w:tcPr>
            <w:tcW w:w="6460" w:type="dxa"/>
          </w:tcPr>
          <w:p w:rsidR="00E25949" w:rsidRPr="00281271" w:rsidRDefault="00E25949" w:rsidP="00FD25E9">
            <w:pPr>
              <w:jc w:val="both"/>
              <w:rPr>
                <w:rFonts w:ascii="Times New Roman" w:hAnsi="Times New Roman"/>
                <w:bCs/>
                <w:sz w:val="18"/>
              </w:rPr>
            </w:pPr>
            <w:r>
              <w:rPr>
                <w:rFonts w:ascii="Times New Roman" w:hAnsi="Times New Roman"/>
                <w:bCs/>
                <w:sz w:val="18"/>
              </w:rPr>
              <w:t xml:space="preserve">Fortalecer la capacidad institucional para identificar, prevenir y resolver problemas de corrupción y para identificar oportunidades de probidad. </w:t>
            </w:r>
          </w:p>
        </w:tc>
      </w:tr>
    </w:tbl>
    <w:p w:rsidR="00E25949" w:rsidRDefault="00E25949" w:rsidP="00E25949">
      <w:pPr>
        <w:jc w:val="both"/>
        <w:rPr>
          <w:rFonts w:ascii="Times New Roman" w:hAnsi="Times New Roman"/>
          <w:bCs/>
          <w:sz w:val="22"/>
          <w:szCs w:val="22"/>
        </w:rPr>
      </w:pPr>
    </w:p>
    <w:p w:rsidR="00E25949" w:rsidRPr="001427D1" w:rsidRDefault="00E25949" w:rsidP="00E25949">
      <w:pPr>
        <w:pStyle w:val="Ttulo3"/>
        <w:rPr>
          <w:rFonts w:ascii="Times New Roman" w:hAnsi="Times New Roman"/>
        </w:rPr>
      </w:pPr>
      <w:bookmarkStart w:id="43" w:name="_Toc362358062"/>
      <w:r w:rsidRPr="001427D1">
        <w:rPr>
          <w:rFonts w:ascii="Times New Roman" w:hAnsi="Times New Roman"/>
        </w:rPr>
        <w:t>3.</w:t>
      </w:r>
      <w:r>
        <w:rPr>
          <w:rFonts w:ascii="Times New Roman" w:hAnsi="Times New Roman"/>
        </w:rPr>
        <w:t>5</w:t>
      </w:r>
      <w:r w:rsidRPr="001427D1">
        <w:rPr>
          <w:rFonts w:ascii="Times New Roman" w:hAnsi="Times New Roman"/>
        </w:rPr>
        <w:t>.  Presupuesto</w:t>
      </w:r>
      <w:r>
        <w:rPr>
          <w:rFonts w:ascii="Times New Roman" w:hAnsi="Times New Roman"/>
        </w:rPr>
        <w:t xml:space="preserve"> de inversión Secretaría de Educación</w:t>
      </w:r>
      <w:bookmarkEnd w:id="43"/>
    </w:p>
    <w:p w:rsidR="00E25949" w:rsidRDefault="00E25949" w:rsidP="00E25949"/>
    <w:p w:rsidR="00E25949" w:rsidRDefault="00E25949" w:rsidP="00E25949">
      <w:pPr>
        <w:jc w:val="both"/>
        <w:rPr>
          <w:rFonts w:ascii="Times New Roman" w:hAnsi="Times New Roman"/>
        </w:rPr>
      </w:pPr>
      <w:r w:rsidRPr="00451D37">
        <w:rPr>
          <w:rFonts w:ascii="Times New Roman" w:hAnsi="Times New Roman"/>
          <w:bCs/>
          <w:szCs w:val="22"/>
        </w:rPr>
        <w:t xml:space="preserve">El Plan Plurianual de Inversiones del Plan Distrital de Desarrollo para el período 2012-2016, establece un total de 53 billones en inversión, de los cuales corresponde al sector educativo, en el programa de construcción de saberes un total de $14,6 billones, que representa el 28% del total. El proyecto mediante el cual se financia la planta de personal docente y administrativa representa el 31% del total, seguido por hábitat escolar con 13,8%, subsidios a la demanda educativa con 5,6% y niños y niñas estudiando con 12,8%. </w:t>
      </w:r>
    </w:p>
    <w:p w:rsidR="00E25949" w:rsidRDefault="00E25949" w:rsidP="00E25949">
      <w:pPr>
        <w:rPr>
          <w:rFonts w:ascii="Times New Roman" w:hAnsi="Times New Roman"/>
        </w:rPr>
      </w:pPr>
    </w:p>
    <w:tbl>
      <w:tblPr>
        <w:tblW w:w="9498" w:type="dxa"/>
        <w:tblInd w:w="-72" w:type="dxa"/>
        <w:tblLayout w:type="fixed"/>
        <w:tblCellMar>
          <w:left w:w="70" w:type="dxa"/>
          <w:right w:w="70" w:type="dxa"/>
        </w:tblCellMar>
        <w:tblLook w:val="0000" w:firstRow="0" w:lastRow="0" w:firstColumn="0" w:lastColumn="0" w:noHBand="0" w:noVBand="0"/>
      </w:tblPr>
      <w:tblGrid>
        <w:gridCol w:w="499"/>
        <w:gridCol w:w="2195"/>
        <w:gridCol w:w="1134"/>
        <w:gridCol w:w="1134"/>
        <w:gridCol w:w="1134"/>
        <w:gridCol w:w="1134"/>
        <w:gridCol w:w="1134"/>
        <w:gridCol w:w="1134"/>
      </w:tblGrid>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FF9900"/>
            <w:vAlign w:val="center"/>
          </w:tcPr>
          <w:p w:rsidR="00E25949" w:rsidRPr="001F0BC1" w:rsidRDefault="00E25949" w:rsidP="002E0C9D">
            <w:pPr>
              <w:jc w:val="center"/>
              <w:rPr>
                <w:rFonts w:ascii="Times New Roman" w:eastAsiaTheme="minorHAnsi" w:hAnsi="Times New Roman"/>
                <w:b/>
                <w:bCs/>
                <w:sz w:val="12"/>
                <w:szCs w:val="18"/>
              </w:rPr>
            </w:pPr>
            <w:r w:rsidRPr="00383402">
              <w:rPr>
                <w:rFonts w:ascii="Times New Roman" w:eastAsiaTheme="minorHAnsi" w:hAnsi="Times New Roman"/>
                <w:b/>
                <w:bCs/>
                <w:sz w:val="12"/>
                <w:szCs w:val="18"/>
              </w:rPr>
              <w:t>#PROY</w:t>
            </w:r>
          </w:p>
        </w:tc>
        <w:tc>
          <w:tcPr>
            <w:tcW w:w="2195" w:type="dxa"/>
            <w:tcBorders>
              <w:top w:val="single" w:sz="4" w:space="0" w:color="auto"/>
              <w:left w:val="single" w:sz="4" w:space="0" w:color="auto"/>
              <w:bottom w:val="single" w:sz="4" w:space="0" w:color="auto"/>
              <w:right w:val="single" w:sz="4" w:space="0" w:color="auto"/>
            </w:tcBorders>
            <w:shd w:val="clear" w:color="auto" w:fill="FF9900"/>
            <w:vAlign w:val="center"/>
          </w:tcPr>
          <w:p w:rsidR="00E25949" w:rsidRPr="001F0BC1" w:rsidRDefault="00E25949" w:rsidP="002E0C9D">
            <w:pPr>
              <w:jc w:val="center"/>
              <w:rPr>
                <w:rFonts w:ascii="Times New Roman" w:eastAsiaTheme="minorHAnsi" w:hAnsi="Times New Roman"/>
                <w:b/>
                <w:bCs/>
                <w:sz w:val="12"/>
                <w:szCs w:val="18"/>
              </w:rPr>
            </w:pPr>
            <w:r w:rsidRPr="00383402">
              <w:rPr>
                <w:rFonts w:ascii="Times New Roman" w:eastAsiaTheme="minorHAnsi" w:hAnsi="Times New Roman"/>
                <w:b/>
                <w:bCs/>
                <w:sz w:val="12"/>
                <w:szCs w:val="18"/>
              </w:rPr>
              <w:t>PROYECTO</w:t>
            </w:r>
          </w:p>
        </w:tc>
        <w:tc>
          <w:tcPr>
            <w:tcW w:w="1134" w:type="dxa"/>
            <w:tcBorders>
              <w:top w:val="single" w:sz="4" w:space="0" w:color="auto"/>
              <w:left w:val="single" w:sz="4" w:space="0" w:color="auto"/>
              <w:bottom w:val="single" w:sz="4" w:space="0" w:color="auto"/>
              <w:right w:val="single" w:sz="4" w:space="0" w:color="auto"/>
            </w:tcBorders>
            <w:shd w:val="clear" w:color="auto" w:fill="FF9900"/>
            <w:vAlign w:val="center"/>
          </w:tcPr>
          <w:p w:rsidR="00E25949" w:rsidRPr="001F0BC1" w:rsidRDefault="00E25949" w:rsidP="002E0C9D">
            <w:pPr>
              <w:jc w:val="center"/>
              <w:rPr>
                <w:rFonts w:ascii="Times New Roman" w:eastAsiaTheme="minorHAnsi" w:hAnsi="Times New Roman"/>
                <w:b/>
                <w:bCs/>
                <w:sz w:val="12"/>
                <w:szCs w:val="18"/>
              </w:rPr>
            </w:pPr>
            <w:r w:rsidRPr="00383402">
              <w:rPr>
                <w:rFonts w:ascii="Times New Roman" w:eastAsiaTheme="minorHAnsi" w:hAnsi="Times New Roman"/>
                <w:b/>
                <w:bCs/>
                <w:sz w:val="12"/>
                <w:szCs w:val="18"/>
              </w:rPr>
              <w:t>2012</w:t>
            </w:r>
          </w:p>
        </w:tc>
        <w:tc>
          <w:tcPr>
            <w:tcW w:w="1134" w:type="dxa"/>
            <w:tcBorders>
              <w:top w:val="single" w:sz="4" w:space="0" w:color="auto"/>
              <w:left w:val="single" w:sz="4" w:space="0" w:color="auto"/>
              <w:bottom w:val="single" w:sz="4" w:space="0" w:color="auto"/>
              <w:right w:val="single" w:sz="4" w:space="0" w:color="auto"/>
            </w:tcBorders>
            <w:shd w:val="clear" w:color="auto" w:fill="FF9900"/>
            <w:vAlign w:val="center"/>
          </w:tcPr>
          <w:p w:rsidR="00E25949" w:rsidRPr="001F0BC1" w:rsidRDefault="00E25949" w:rsidP="002E0C9D">
            <w:pPr>
              <w:jc w:val="center"/>
              <w:rPr>
                <w:rFonts w:ascii="Times New Roman" w:eastAsiaTheme="minorHAnsi" w:hAnsi="Times New Roman"/>
                <w:b/>
                <w:bCs/>
                <w:sz w:val="12"/>
                <w:szCs w:val="18"/>
              </w:rPr>
            </w:pPr>
            <w:r w:rsidRPr="00383402">
              <w:rPr>
                <w:rFonts w:ascii="Times New Roman" w:eastAsiaTheme="minorHAnsi" w:hAnsi="Times New Roman"/>
                <w:b/>
                <w:bCs/>
                <w:sz w:val="12"/>
                <w:szCs w:val="18"/>
              </w:rPr>
              <w:t>2013</w:t>
            </w:r>
          </w:p>
        </w:tc>
        <w:tc>
          <w:tcPr>
            <w:tcW w:w="1134" w:type="dxa"/>
            <w:tcBorders>
              <w:top w:val="single" w:sz="4" w:space="0" w:color="auto"/>
              <w:left w:val="single" w:sz="4" w:space="0" w:color="auto"/>
              <w:bottom w:val="single" w:sz="4" w:space="0" w:color="auto"/>
              <w:right w:val="single" w:sz="4" w:space="0" w:color="auto"/>
            </w:tcBorders>
            <w:shd w:val="clear" w:color="auto" w:fill="FF9900"/>
            <w:vAlign w:val="center"/>
          </w:tcPr>
          <w:p w:rsidR="00E25949" w:rsidRPr="001F0BC1" w:rsidRDefault="00E25949" w:rsidP="002E0C9D">
            <w:pPr>
              <w:jc w:val="center"/>
              <w:rPr>
                <w:rFonts w:ascii="Times New Roman" w:eastAsiaTheme="minorHAnsi" w:hAnsi="Times New Roman"/>
                <w:b/>
                <w:bCs/>
                <w:sz w:val="12"/>
                <w:szCs w:val="18"/>
              </w:rPr>
            </w:pPr>
            <w:r w:rsidRPr="00383402">
              <w:rPr>
                <w:rFonts w:ascii="Times New Roman" w:eastAsiaTheme="minorHAnsi" w:hAnsi="Times New Roman"/>
                <w:b/>
                <w:bCs/>
                <w:sz w:val="12"/>
                <w:szCs w:val="18"/>
              </w:rPr>
              <w:t>2014</w:t>
            </w:r>
          </w:p>
        </w:tc>
        <w:tc>
          <w:tcPr>
            <w:tcW w:w="1134" w:type="dxa"/>
            <w:tcBorders>
              <w:top w:val="single" w:sz="4" w:space="0" w:color="auto"/>
              <w:left w:val="single" w:sz="4" w:space="0" w:color="auto"/>
              <w:bottom w:val="single" w:sz="4" w:space="0" w:color="auto"/>
              <w:right w:val="single" w:sz="4" w:space="0" w:color="auto"/>
            </w:tcBorders>
            <w:shd w:val="clear" w:color="auto" w:fill="FF9900"/>
            <w:vAlign w:val="center"/>
          </w:tcPr>
          <w:p w:rsidR="00E25949" w:rsidRPr="001F0BC1" w:rsidRDefault="00E25949" w:rsidP="002E0C9D">
            <w:pPr>
              <w:jc w:val="center"/>
              <w:rPr>
                <w:rFonts w:ascii="Times New Roman" w:eastAsiaTheme="minorHAnsi" w:hAnsi="Times New Roman"/>
                <w:b/>
                <w:bCs/>
                <w:sz w:val="12"/>
                <w:szCs w:val="18"/>
              </w:rPr>
            </w:pPr>
            <w:r w:rsidRPr="00383402">
              <w:rPr>
                <w:rFonts w:ascii="Times New Roman" w:eastAsiaTheme="minorHAnsi" w:hAnsi="Times New Roman"/>
                <w:b/>
                <w:bCs/>
                <w:sz w:val="12"/>
                <w:szCs w:val="18"/>
              </w:rPr>
              <w:t>2015</w:t>
            </w:r>
          </w:p>
        </w:tc>
        <w:tc>
          <w:tcPr>
            <w:tcW w:w="1134" w:type="dxa"/>
            <w:tcBorders>
              <w:top w:val="single" w:sz="4" w:space="0" w:color="auto"/>
              <w:left w:val="single" w:sz="4" w:space="0" w:color="auto"/>
              <w:bottom w:val="single" w:sz="4" w:space="0" w:color="auto"/>
              <w:right w:val="single" w:sz="4" w:space="0" w:color="auto"/>
            </w:tcBorders>
            <w:shd w:val="clear" w:color="auto" w:fill="FF9900"/>
            <w:vAlign w:val="center"/>
          </w:tcPr>
          <w:p w:rsidR="00E25949" w:rsidRPr="001F0BC1" w:rsidRDefault="00E25949" w:rsidP="002E0C9D">
            <w:pPr>
              <w:jc w:val="center"/>
              <w:rPr>
                <w:rFonts w:ascii="Times New Roman" w:eastAsiaTheme="minorHAnsi" w:hAnsi="Times New Roman"/>
                <w:b/>
                <w:bCs/>
                <w:sz w:val="12"/>
                <w:szCs w:val="18"/>
              </w:rPr>
            </w:pPr>
            <w:r w:rsidRPr="00383402">
              <w:rPr>
                <w:rFonts w:ascii="Times New Roman" w:eastAsiaTheme="minorHAnsi" w:hAnsi="Times New Roman"/>
                <w:b/>
                <w:bCs/>
                <w:sz w:val="12"/>
                <w:szCs w:val="18"/>
              </w:rPr>
              <w:t>2016</w:t>
            </w:r>
          </w:p>
        </w:tc>
        <w:tc>
          <w:tcPr>
            <w:tcW w:w="1134" w:type="dxa"/>
            <w:tcBorders>
              <w:top w:val="single" w:sz="4" w:space="0" w:color="auto"/>
              <w:left w:val="single" w:sz="4" w:space="0" w:color="auto"/>
              <w:bottom w:val="single" w:sz="4" w:space="0" w:color="auto"/>
              <w:right w:val="single" w:sz="4" w:space="0" w:color="auto"/>
            </w:tcBorders>
            <w:shd w:val="clear" w:color="auto" w:fill="FF9900"/>
            <w:vAlign w:val="center"/>
          </w:tcPr>
          <w:p w:rsidR="00E25949" w:rsidRPr="001F0BC1" w:rsidRDefault="00E25949" w:rsidP="002E0C9D">
            <w:pPr>
              <w:jc w:val="center"/>
              <w:rPr>
                <w:rFonts w:ascii="Times New Roman" w:eastAsiaTheme="minorHAnsi" w:hAnsi="Times New Roman"/>
                <w:b/>
                <w:bCs/>
                <w:sz w:val="12"/>
                <w:szCs w:val="18"/>
              </w:rPr>
            </w:pPr>
            <w:r w:rsidRPr="00383402">
              <w:rPr>
                <w:rFonts w:ascii="Times New Roman" w:eastAsiaTheme="minorHAnsi" w:hAnsi="Times New Roman"/>
                <w:b/>
                <w:bCs/>
                <w:sz w:val="12"/>
                <w:szCs w:val="18"/>
              </w:rPr>
              <w:t>TOTAL</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262</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HABITAT ESCOLAR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251.620.996.766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564.426.051.622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610.400.862.390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333.695.749.851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261.560.461.307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2.021.704.121.936</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888</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ENFOQUES DIFERENCIALES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1.400.000.000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5.254.000.000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13.404.000.000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14.104.000.000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16.294.000.000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50.456.000.000</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889</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JORNADA EDUCATIVA DE 40 HORAS SEMANALES PARA LA EXCELENCIA ACADÉMICA Y LA FORMACIÓN INTEGRAL Y JORNADAS UNICAS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11.664.000.000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194.550.988.654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248.960.334.707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263.707.356.146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268.286.584.782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987.169.264.289</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890</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RESIGNIFICACION DE LAS MIRADAS DE LA EDUCACION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4.540.000.000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11.224.221.664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9.580.069.713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803.991.674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12.934.264.210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39.082.547.261</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891</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MEDIA FORTALECIDA Y MAYOR ACCESO A LA EDUCACION SUPERIOR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26.098.000.000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157.230.440.289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187.347.570.394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129.551.158.634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251.896.853.383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752.124.022.701</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892</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DIALOGO SOCIAL Y PARTICIPACIÓN DE LA COMUNIDAD EDUCATIVA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3.633.000.000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9.194.000.000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8.919.000.000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9.219.000.000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8.394.900.000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39.359.900.000</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893</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PENSAR LA EDUCACION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2.223.000.000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9.447.350.533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6.912.970.023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5.307.207.438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8.708.143.451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32.598.671.445</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lastRenderedPageBreak/>
              <w:t>894</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MAESTROS EMPODERADOS, CON BIENESTAR  Y MEJOR FORMACIÓN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1.400.000.000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32.333.985.310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32.333.985.310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32.333.985.310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32.333.985.310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130.735.941.240</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897</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NIÑOS Y NIÑAS ESTUDIANDO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150.547.692.000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395.095.290.790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416.705.361.219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435.962.721.618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467.944.424.772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1.866.255.490.399</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898</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ADMINISTRACIÓN DEL TALENTO HUMANO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684.300.308.000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1.072.640.975.741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971.972.242.029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858.291.493.807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991.659.740.814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4.578.864.760.390</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899</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TECNOLOGIAS DE LA INFORMACIÓN Y LAS COMUNICACIONES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42.439.180.000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82.057.034.715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89.546.721.331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77.337.561.154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97.800.612.573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389.181.109.772</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900</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EDUCACION PARA LA CIUDADANÍA Y LA CONVIVENCIA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11.716.900.000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31.928.147.680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41.683.084.427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43.174.680.822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55.065.705.943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183.568.518.874</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901</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PREJARDIN, JARDIN Y TRANSICIÓN: PREESCOLAR DE CALIDAD EN EL SISTEMA EDUCATIVO OFICIAL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30.828.189.000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185.501.500.904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365.437.889.498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283.866.259.031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202.134.743.027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1.067.768.581.460</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902</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 xml:space="preserve">MEJOR GESTION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6.000.000.000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16.939.276.028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19.964.912.010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9.848.159.185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19.272.244.148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72.024.591.371</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905</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FORTALECIMIENTO ACADÉMICO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10.820.000.000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27.511.344.347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33.617.798.547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24.771.675.330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42.750.894.687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139.471.712.911</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4248</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SUBSIDIOS A LA DEMANDA EDUCATIVA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16.553.000.000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219.679.391.723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204.520.198.402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195.095.000.000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190.034.441.592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825.882.031.717</w:t>
            </w:r>
          </w:p>
        </w:tc>
      </w:tr>
      <w:tr w:rsidR="00E25949" w:rsidRPr="001F0BC1">
        <w:trPr>
          <w:trHeight w:val="260"/>
        </w:trPr>
        <w:tc>
          <w:tcPr>
            <w:tcW w:w="499"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center"/>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 </w:t>
            </w:r>
          </w:p>
        </w:tc>
        <w:tc>
          <w:tcPr>
            <w:tcW w:w="2195"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25949" w:rsidRPr="001F0BC1" w:rsidRDefault="00E25949" w:rsidP="002E0C9D">
            <w:pPr>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SUBTOTAL</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1.255.784.265.766</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3.015.014.000.000</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3.261.307.000.000</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2.717.070.000.001</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2.927.072.000.000</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13.176.247.265.766</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 </w:t>
            </w:r>
          </w:p>
        </w:tc>
        <w:tc>
          <w:tcPr>
            <w:tcW w:w="2195" w:type="dxa"/>
            <w:tcBorders>
              <w:top w:val="single" w:sz="4" w:space="0" w:color="auto"/>
              <w:left w:val="single" w:sz="4" w:space="0" w:color="auto"/>
              <w:bottom w:val="single" w:sz="4" w:space="0" w:color="auto"/>
              <w:right w:val="single" w:sz="4" w:space="0" w:color="auto"/>
            </w:tcBorders>
            <w:shd w:val="clear" w:color="auto" w:fill="FCF305"/>
            <w:noWrap/>
            <w:vAlign w:val="bottom"/>
          </w:tcPr>
          <w:p w:rsidR="00E25949" w:rsidRPr="001F0BC1" w:rsidRDefault="00E25949" w:rsidP="002E0C9D">
            <w:pPr>
              <w:rPr>
                <w:rFonts w:ascii="Times New Roman" w:eastAsiaTheme="minorHAnsi" w:hAnsi="Times New Roman"/>
                <w:sz w:val="12"/>
                <w:szCs w:val="18"/>
              </w:rPr>
            </w:pPr>
            <w:r w:rsidRPr="00383402">
              <w:rPr>
                <w:rFonts w:ascii="Times New Roman" w:eastAsiaTheme="minorHAnsi" w:hAnsi="Times New Roman"/>
                <w:sz w:val="12"/>
                <w:szCs w:val="18"/>
              </w:rPr>
              <w:t>EJECUCION AL 31 DE MAYO DE 2012 BOGOTA POSITIVA</w:t>
            </w:r>
          </w:p>
        </w:tc>
        <w:tc>
          <w:tcPr>
            <w:tcW w:w="1134" w:type="dxa"/>
            <w:tcBorders>
              <w:top w:val="single" w:sz="4" w:space="0" w:color="auto"/>
              <w:left w:val="single" w:sz="4" w:space="0" w:color="auto"/>
              <w:bottom w:val="single" w:sz="4" w:space="0" w:color="auto"/>
              <w:right w:val="single" w:sz="4" w:space="0" w:color="auto"/>
            </w:tcBorders>
            <w:shd w:val="clear" w:color="auto" w:fill="FCF305"/>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1.046.810.457.234</w:t>
            </w:r>
          </w:p>
        </w:tc>
        <w:tc>
          <w:tcPr>
            <w:tcW w:w="1134" w:type="dxa"/>
            <w:tcBorders>
              <w:top w:val="nil"/>
              <w:left w:val="nil"/>
              <w:bottom w:val="nil"/>
              <w:right w:val="nil"/>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p>
        </w:tc>
        <w:tc>
          <w:tcPr>
            <w:tcW w:w="1134" w:type="dxa"/>
            <w:tcBorders>
              <w:top w:val="nil"/>
              <w:left w:val="nil"/>
              <w:bottom w:val="nil"/>
              <w:right w:val="nil"/>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p>
        </w:tc>
        <w:tc>
          <w:tcPr>
            <w:tcW w:w="1134" w:type="dxa"/>
            <w:tcBorders>
              <w:top w:val="nil"/>
              <w:left w:val="nil"/>
              <w:bottom w:val="nil"/>
              <w:right w:val="nil"/>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p>
        </w:tc>
        <w:tc>
          <w:tcPr>
            <w:tcW w:w="1134" w:type="dxa"/>
            <w:tcBorders>
              <w:top w:val="nil"/>
              <w:left w:val="nil"/>
              <w:bottom w:val="nil"/>
              <w:right w:val="nil"/>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p>
        </w:tc>
        <w:tc>
          <w:tcPr>
            <w:tcW w:w="1134" w:type="dxa"/>
            <w:tcBorders>
              <w:top w:val="nil"/>
              <w:left w:val="nil"/>
              <w:bottom w:val="nil"/>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r w:rsidRPr="00383402">
              <w:rPr>
                <w:rFonts w:ascii="Times New Roman" w:eastAsiaTheme="minorHAnsi" w:hAnsi="Times New Roman"/>
                <w:sz w:val="12"/>
                <w:szCs w:val="18"/>
              </w:rPr>
              <w:t> </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center"/>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 </w:t>
            </w:r>
          </w:p>
        </w:tc>
        <w:tc>
          <w:tcPr>
            <w:tcW w:w="2195"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25949" w:rsidRPr="001F0BC1" w:rsidRDefault="00E25949" w:rsidP="002E0C9D">
            <w:pPr>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PRESUPUESTO POR AÑO</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2.302.594.723.000</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3.015.014.000.000</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3.261.307.000.000</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2.717.070.000.001</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2.927.072.000.000</w:t>
            </w:r>
          </w:p>
        </w:tc>
        <w:tc>
          <w:tcPr>
            <w:tcW w:w="1134" w:type="dxa"/>
            <w:tcBorders>
              <w:top w:val="single" w:sz="4" w:space="0" w:color="auto"/>
              <w:left w:val="single" w:sz="4" w:space="0" w:color="auto"/>
              <w:bottom w:val="single" w:sz="4" w:space="0" w:color="auto"/>
              <w:right w:val="single" w:sz="4" w:space="0" w:color="auto"/>
            </w:tcBorders>
            <w:shd w:val="clear" w:color="auto" w:fill="FCF305"/>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14.223.057.723.000</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cente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 </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949" w:rsidRPr="001F0BC1" w:rsidRDefault="00E25949" w:rsidP="002E0C9D">
            <w:pPr>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RECURSOS NO ASIGNADOS EN LA CUOTA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color w:val="000000"/>
                <w:sz w:val="12"/>
                <w:szCs w:val="18"/>
              </w:rPr>
            </w:pPr>
            <w:r w:rsidRPr="00383402">
              <w:rPr>
                <w:rFonts w:ascii="Times New Roman" w:eastAsiaTheme="minorHAnsi" w:hAnsi="Times New Roman"/>
                <w:color w:val="000000"/>
                <w:sz w:val="12"/>
                <w:szCs w:val="18"/>
              </w:rPr>
              <w:t>395.730.277.306</w:t>
            </w:r>
          </w:p>
        </w:tc>
        <w:tc>
          <w:tcPr>
            <w:tcW w:w="1134" w:type="dxa"/>
            <w:tcBorders>
              <w:top w:val="nil"/>
              <w:left w:val="nil"/>
              <w:bottom w:val="nil"/>
              <w:right w:val="nil"/>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p>
        </w:tc>
        <w:tc>
          <w:tcPr>
            <w:tcW w:w="1134" w:type="dxa"/>
            <w:tcBorders>
              <w:top w:val="nil"/>
              <w:left w:val="nil"/>
              <w:bottom w:val="nil"/>
              <w:right w:val="nil"/>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p>
        </w:tc>
        <w:tc>
          <w:tcPr>
            <w:tcW w:w="1134" w:type="dxa"/>
            <w:tcBorders>
              <w:top w:val="nil"/>
              <w:left w:val="nil"/>
              <w:bottom w:val="nil"/>
              <w:right w:val="nil"/>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p>
        </w:tc>
        <w:tc>
          <w:tcPr>
            <w:tcW w:w="1134" w:type="dxa"/>
            <w:tcBorders>
              <w:top w:val="nil"/>
              <w:left w:val="nil"/>
              <w:bottom w:val="nil"/>
              <w:right w:val="nil"/>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p>
        </w:tc>
        <w:tc>
          <w:tcPr>
            <w:tcW w:w="1134" w:type="dxa"/>
            <w:tcBorders>
              <w:top w:val="nil"/>
              <w:left w:val="nil"/>
              <w:bottom w:val="nil"/>
              <w:right w:val="single" w:sz="4" w:space="0" w:color="auto"/>
            </w:tcBorders>
            <w:shd w:val="clear" w:color="auto" w:fill="auto"/>
            <w:noWrap/>
            <w:vAlign w:val="center"/>
          </w:tcPr>
          <w:p w:rsidR="00E25949" w:rsidRPr="001F0BC1" w:rsidRDefault="00E25949" w:rsidP="002E0C9D">
            <w:pPr>
              <w:jc w:val="right"/>
              <w:rPr>
                <w:rFonts w:ascii="Times New Roman" w:eastAsiaTheme="minorHAnsi" w:hAnsi="Times New Roman"/>
                <w:sz w:val="12"/>
                <w:szCs w:val="18"/>
              </w:rPr>
            </w:pPr>
            <w:r w:rsidRPr="00383402">
              <w:rPr>
                <w:rFonts w:ascii="Times New Roman" w:eastAsiaTheme="minorHAnsi" w:hAnsi="Times New Roman"/>
                <w:sz w:val="12"/>
                <w:szCs w:val="18"/>
              </w:rPr>
              <w:t> </w:t>
            </w:r>
          </w:p>
        </w:tc>
      </w:tr>
      <w:tr w:rsidR="00E25949" w:rsidRPr="001F0BC1">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center"/>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 </w:t>
            </w:r>
          </w:p>
        </w:tc>
        <w:tc>
          <w:tcPr>
            <w:tcW w:w="2195"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25949" w:rsidRPr="001F0BC1" w:rsidRDefault="00E25949" w:rsidP="002E0C9D">
            <w:pPr>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TOTAL PLAN DESARROLLO SED (construcción de saberes y PI)</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2.698.325.000.306</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3.015.014.000.000</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3.261.307.000.000</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2.717.070.000.001</w:t>
            </w:r>
          </w:p>
        </w:tc>
        <w:tc>
          <w:tcPr>
            <w:tcW w:w="1134"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E25949" w:rsidRPr="001F0BC1" w:rsidRDefault="00E25949" w:rsidP="002E0C9D">
            <w:pPr>
              <w:jc w:val="right"/>
              <w:rPr>
                <w:rFonts w:ascii="Times New Roman" w:eastAsiaTheme="minorHAnsi" w:hAnsi="Times New Roman"/>
                <w:b/>
                <w:bCs/>
                <w:color w:val="000000"/>
                <w:sz w:val="12"/>
                <w:szCs w:val="18"/>
              </w:rPr>
            </w:pPr>
            <w:r w:rsidRPr="00383402">
              <w:rPr>
                <w:rFonts w:ascii="Times New Roman" w:eastAsiaTheme="minorHAnsi" w:hAnsi="Times New Roman"/>
                <w:b/>
                <w:bCs/>
                <w:color w:val="000000"/>
                <w:sz w:val="12"/>
                <w:szCs w:val="18"/>
              </w:rPr>
              <w:t>2.927.072.000.000</w:t>
            </w:r>
          </w:p>
        </w:tc>
        <w:tc>
          <w:tcPr>
            <w:tcW w:w="1134" w:type="dxa"/>
            <w:tcBorders>
              <w:top w:val="single" w:sz="4" w:space="0" w:color="auto"/>
              <w:left w:val="single" w:sz="4" w:space="0" w:color="auto"/>
              <w:bottom w:val="single" w:sz="4" w:space="0" w:color="auto"/>
              <w:right w:val="single" w:sz="4" w:space="0" w:color="auto"/>
            </w:tcBorders>
            <w:shd w:val="clear" w:color="auto" w:fill="FCF305"/>
            <w:noWrap/>
            <w:vAlign w:val="center"/>
          </w:tcPr>
          <w:p w:rsidR="00E25949" w:rsidRPr="001F0BC1" w:rsidRDefault="00E25949" w:rsidP="002E0C9D">
            <w:pPr>
              <w:jc w:val="right"/>
              <w:rPr>
                <w:rFonts w:ascii="Times New Roman" w:eastAsiaTheme="minorHAnsi" w:hAnsi="Times New Roman"/>
                <w:b/>
                <w:bCs/>
                <w:sz w:val="12"/>
                <w:szCs w:val="18"/>
              </w:rPr>
            </w:pPr>
            <w:r w:rsidRPr="00383402">
              <w:rPr>
                <w:rFonts w:ascii="Times New Roman" w:eastAsiaTheme="minorHAnsi" w:hAnsi="Times New Roman"/>
                <w:b/>
                <w:bCs/>
                <w:sz w:val="12"/>
                <w:szCs w:val="18"/>
              </w:rPr>
              <w:t>14.618.788.000.306</w:t>
            </w:r>
          </w:p>
        </w:tc>
      </w:tr>
    </w:tbl>
    <w:p w:rsidR="00E25949" w:rsidRDefault="00E25949" w:rsidP="00E25949">
      <w:pPr>
        <w:rPr>
          <w:rFonts w:ascii="Times New Roman" w:hAnsi="Times New Roman"/>
        </w:rPr>
      </w:pPr>
    </w:p>
    <w:p w:rsidR="00E25949" w:rsidRPr="001427D1" w:rsidRDefault="00E25949" w:rsidP="00E25949">
      <w:pPr>
        <w:pStyle w:val="Ttulo3"/>
        <w:rPr>
          <w:rFonts w:ascii="Times New Roman" w:hAnsi="Times New Roman"/>
        </w:rPr>
      </w:pPr>
      <w:bookmarkStart w:id="44" w:name="_Toc362358063"/>
      <w:r w:rsidRPr="001427D1">
        <w:rPr>
          <w:rFonts w:ascii="Times New Roman" w:hAnsi="Times New Roman"/>
        </w:rPr>
        <w:t>3.</w:t>
      </w:r>
      <w:r>
        <w:rPr>
          <w:rFonts w:ascii="Times New Roman" w:hAnsi="Times New Roman"/>
        </w:rPr>
        <w:t>6</w:t>
      </w:r>
      <w:r w:rsidRPr="001427D1">
        <w:rPr>
          <w:rFonts w:ascii="Times New Roman" w:hAnsi="Times New Roman"/>
        </w:rPr>
        <w:t>. Organización e instrumentos para la ejecución del Plan Sectorial</w:t>
      </w:r>
      <w:bookmarkEnd w:id="44"/>
    </w:p>
    <w:p w:rsidR="00E25949" w:rsidRPr="00BA20B4" w:rsidRDefault="00E25949" w:rsidP="00E25949">
      <w:pPr>
        <w:rPr>
          <w:rFonts w:ascii="Times New Roman" w:hAnsi="Times New Roman"/>
        </w:rPr>
      </w:pPr>
    </w:p>
    <w:p w:rsidR="00E25949" w:rsidRPr="00BA20B4" w:rsidRDefault="00E25949" w:rsidP="00E25949">
      <w:pPr>
        <w:jc w:val="both"/>
        <w:rPr>
          <w:rFonts w:ascii="Times New Roman" w:hAnsi="Times New Roman"/>
          <w:color w:val="000000"/>
        </w:rPr>
      </w:pPr>
      <w:r w:rsidRPr="00BA20B4">
        <w:rPr>
          <w:rFonts w:ascii="Times New Roman" w:hAnsi="Times New Roman"/>
          <w:color w:val="000000"/>
        </w:rPr>
        <w:t>Para cumplir con l</w:t>
      </w:r>
      <w:r>
        <w:rPr>
          <w:rFonts w:ascii="Times New Roman" w:hAnsi="Times New Roman"/>
          <w:color w:val="000000"/>
        </w:rPr>
        <w:t>os objetivo</w:t>
      </w:r>
      <w:r w:rsidRPr="00BA20B4">
        <w:rPr>
          <w:rFonts w:ascii="Times New Roman" w:hAnsi="Times New Roman"/>
          <w:color w:val="000000"/>
        </w:rPr>
        <w:t xml:space="preserve">s </w:t>
      </w:r>
      <w:r>
        <w:rPr>
          <w:rFonts w:ascii="Times New Roman" w:hAnsi="Times New Roman"/>
          <w:color w:val="000000"/>
        </w:rPr>
        <w:t xml:space="preserve">y </w:t>
      </w:r>
      <w:r w:rsidRPr="00BA20B4">
        <w:rPr>
          <w:rFonts w:ascii="Times New Roman" w:hAnsi="Times New Roman"/>
          <w:color w:val="000000"/>
        </w:rPr>
        <w:t>metas</w:t>
      </w:r>
      <w:r>
        <w:rPr>
          <w:rFonts w:ascii="Times New Roman" w:hAnsi="Times New Roman"/>
          <w:color w:val="000000"/>
        </w:rPr>
        <w:t>,</w:t>
      </w:r>
      <w:r w:rsidRPr="00BA20B4">
        <w:rPr>
          <w:rFonts w:ascii="Times New Roman" w:hAnsi="Times New Roman"/>
          <w:color w:val="000000"/>
        </w:rPr>
        <w:t xml:space="preserve"> la Secretaría de Educación cuenta con 5 oficinas asesoras del despacho, 4 subsecretarías, 18 direcciones funcionales, 20 direcciones locales y 35</w:t>
      </w:r>
      <w:r>
        <w:rPr>
          <w:rFonts w:ascii="Times New Roman" w:hAnsi="Times New Roman"/>
          <w:color w:val="000000"/>
        </w:rPr>
        <w:t>9</w:t>
      </w:r>
      <w:r w:rsidRPr="00BA20B4">
        <w:rPr>
          <w:rFonts w:ascii="Times New Roman" w:hAnsi="Times New Roman"/>
          <w:color w:val="000000"/>
        </w:rPr>
        <w:t xml:space="preserve"> colegios, cuyas funciones se</w:t>
      </w:r>
      <w:r>
        <w:rPr>
          <w:rFonts w:ascii="Times New Roman" w:hAnsi="Times New Roman"/>
          <w:color w:val="000000"/>
        </w:rPr>
        <w:t xml:space="preserve"> encuentran establecidas en la Ley 115 de 1994 y en el Decreto D</w:t>
      </w:r>
      <w:r w:rsidRPr="00BA20B4">
        <w:rPr>
          <w:rFonts w:ascii="Times New Roman" w:hAnsi="Times New Roman"/>
          <w:color w:val="000000"/>
        </w:rPr>
        <w:t>istrital No</w:t>
      </w:r>
      <w:r>
        <w:rPr>
          <w:rFonts w:ascii="Times New Roman" w:hAnsi="Times New Roman"/>
          <w:color w:val="000000"/>
        </w:rPr>
        <w:t>.</w:t>
      </w:r>
      <w:r w:rsidRPr="00BA20B4">
        <w:rPr>
          <w:rFonts w:ascii="Times New Roman" w:hAnsi="Times New Roman"/>
          <w:color w:val="000000"/>
        </w:rPr>
        <w:t xml:space="preserve"> 330 de 2008. El servicio educativo</w:t>
      </w:r>
      <w:r>
        <w:rPr>
          <w:rFonts w:ascii="Times New Roman" w:hAnsi="Times New Roman"/>
          <w:color w:val="000000"/>
        </w:rPr>
        <w:t xml:space="preserve"> público</w:t>
      </w:r>
      <w:r w:rsidRPr="00BA20B4">
        <w:rPr>
          <w:rFonts w:ascii="Times New Roman" w:hAnsi="Times New Roman"/>
          <w:color w:val="000000"/>
        </w:rPr>
        <w:t xml:space="preserve"> es prestado por los 35</w:t>
      </w:r>
      <w:r>
        <w:rPr>
          <w:rFonts w:ascii="Times New Roman" w:hAnsi="Times New Roman"/>
          <w:color w:val="000000"/>
        </w:rPr>
        <w:t xml:space="preserve">9 </w:t>
      </w:r>
      <w:r w:rsidRPr="00BA20B4">
        <w:rPr>
          <w:rFonts w:ascii="Times New Roman" w:hAnsi="Times New Roman"/>
          <w:color w:val="000000"/>
        </w:rPr>
        <w:t>colegios, instituciones donde se concretan las políticas educativas, que tienen dentro de sus funciones la de organizar, ejecutar, controlar y evaluar la prestación del servicio educativo, elaborar el proyecto educativo institucional y formular planes de mejoramiento de la calidad, garantizar la atención adecuada de la población en situación de vulnerabilidad y de exclusión social, promover la participación, y administrar los recursos humanos y físicos.</w:t>
      </w:r>
    </w:p>
    <w:p w:rsidR="00E25949" w:rsidRPr="00BA20B4" w:rsidRDefault="00E25949" w:rsidP="00E25949">
      <w:pPr>
        <w:jc w:val="both"/>
        <w:rPr>
          <w:rFonts w:ascii="Times New Roman" w:hAnsi="Times New Roman"/>
          <w:color w:val="000000"/>
        </w:rPr>
      </w:pPr>
    </w:p>
    <w:p w:rsidR="00E25949" w:rsidRPr="00BA20B4" w:rsidRDefault="00E25949" w:rsidP="00E25949">
      <w:pPr>
        <w:jc w:val="both"/>
        <w:rPr>
          <w:rFonts w:ascii="Times New Roman" w:hAnsi="Times New Roman"/>
          <w:color w:val="000000"/>
        </w:rPr>
      </w:pPr>
    </w:p>
    <w:p w:rsidR="00E25949" w:rsidRPr="00BA20B4" w:rsidRDefault="00E25949" w:rsidP="00E25949">
      <w:pPr>
        <w:jc w:val="both"/>
        <w:rPr>
          <w:rFonts w:ascii="Times New Roman" w:hAnsi="Times New Roman"/>
          <w:color w:val="000000"/>
        </w:rPr>
      </w:pPr>
    </w:p>
    <w:p w:rsidR="00E25949" w:rsidRDefault="00E25949" w:rsidP="00E25949">
      <w:pPr>
        <w:jc w:val="both"/>
        <w:rPr>
          <w:rFonts w:ascii="Times New Roman" w:hAnsi="Times New Roman"/>
          <w:color w:val="000000"/>
        </w:rPr>
      </w:pPr>
      <w:r w:rsidRPr="008C0A16">
        <w:rPr>
          <w:rFonts w:ascii="Times New Roman" w:hAnsi="Times New Roman"/>
          <w:noProof/>
          <w:color w:val="000000"/>
          <w:lang w:val="es-ES" w:eastAsia="es-ES"/>
        </w:rPr>
        <w:lastRenderedPageBreak/>
        <mc:AlternateContent>
          <mc:Choice Requires="wpg">
            <w:drawing>
              <wp:inline distT="0" distB="0" distL="0" distR="0">
                <wp:extent cx="5612130" cy="3857625"/>
                <wp:effectExtent l="0" t="0" r="2731770" b="1895475"/>
                <wp:docPr id="2050" name="Group 153"/>
                <wp:cNvGraphicFramePr/>
                <a:graphic xmlns:a="http://schemas.openxmlformats.org/drawingml/2006/main">
                  <a:graphicData uri="http://schemas.microsoft.com/office/word/2010/wordprocessingGroup">
                    <wpg:wgp>
                      <wpg:cNvGrpSpPr/>
                      <wpg:grpSpPr bwMode="auto">
                        <a:xfrm>
                          <a:off x="0" y="0"/>
                          <a:ext cx="8328025" cy="5724525"/>
                          <a:chOff x="392113" y="989013"/>
                          <a:chExt cx="5443" cy="4222"/>
                        </a:xfrm>
                      </wpg:grpSpPr>
                      <wps:wsp>
                        <wps:cNvPr id="334" name="_s2057"/>
                        <wps:cNvSpPr>
                          <a:spLocks noChangeArrowheads="1"/>
                        </wps:cNvSpPr>
                        <wps:spPr bwMode="auto">
                          <a:xfrm>
                            <a:off x="393816" y="990105"/>
                            <a:ext cx="792" cy="182"/>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Subsecretaría de  Calidad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y Pertinencia</w:t>
                              </w:r>
                            </w:p>
                          </w:txbxContent>
                        </wps:txbx>
                        <wps:bodyPr lIns="0" tIns="0" rIns="0" bIns="0" anchor="ctr"/>
                      </wps:wsp>
                      <wps:wsp>
                        <wps:cNvPr id="335" name="_s2069"/>
                        <wps:cNvSpPr>
                          <a:spLocks noChangeArrowheads="1"/>
                        </wps:cNvSpPr>
                        <wps:spPr bwMode="auto">
                          <a:xfrm>
                            <a:off x="394859" y="990104"/>
                            <a:ext cx="792" cy="182"/>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Subsecretaría de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Acceso y Permanencia </w:t>
                              </w:r>
                            </w:p>
                          </w:txbxContent>
                        </wps:txbx>
                        <wps:bodyPr lIns="0" tIns="0" rIns="0" bIns="0" anchor="ctr"/>
                      </wps:wsp>
                      <wps:wsp>
                        <wps:cNvPr id="336" name="_s2071"/>
                        <wps:cNvSpPr>
                          <a:spLocks noChangeArrowheads="1"/>
                        </wps:cNvSpPr>
                        <wps:spPr bwMode="auto">
                          <a:xfrm>
                            <a:off x="395767" y="990105"/>
                            <a:ext cx="791" cy="182"/>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Subsecretaría de Gestión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Institucional </w:t>
                              </w:r>
                            </w:p>
                          </w:txbxContent>
                        </wps:txbx>
                        <wps:bodyPr lIns="0" tIns="0" rIns="0" bIns="0" anchor="ctr"/>
                      </wps:wsp>
                      <wps:wsp>
                        <wps:cNvPr id="337" name="_s2055"/>
                        <wps:cNvSpPr>
                          <a:spLocks noChangeArrowheads="1"/>
                        </wps:cNvSpPr>
                        <wps:spPr bwMode="auto">
                          <a:xfrm>
                            <a:off x="392681" y="990105"/>
                            <a:ext cx="838" cy="183"/>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Subsecretaría de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Integración Interinstitucional</w:t>
                              </w:r>
                            </w:p>
                          </w:txbxContent>
                        </wps:txbx>
                        <wps:bodyPr lIns="0" tIns="0" rIns="0" bIns="0" anchor="ctr"/>
                      </wps:wsp>
                      <wps:wsp>
                        <wps:cNvPr id="338" name="_s2292"/>
                        <wps:cNvSpPr>
                          <a:spLocks noChangeArrowheads="1"/>
                        </wps:cNvSpPr>
                        <wps:spPr bwMode="auto">
                          <a:xfrm>
                            <a:off x="392263" y="990688"/>
                            <a:ext cx="790" cy="259"/>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General de Educación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y Colegios Distritales</w:t>
                              </w:r>
                            </w:p>
                          </w:txbxContent>
                        </wps:txbx>
                        <wps:bodyPr lIns="0" tIns="0" rIns="0" bIns="0" anchor="ctr"/>
                      </wps:wsp>
                      <wps:wsp>
                        <wps:cNvPr id="339" name="_s2294"/>
                        <wps:cNvSpPr>
                          <a:spLocks noChangeArrowheads="1"/>
                        </wps:cNvSpPr>
                        <wps:spPr bwMode="auto">
                          <a:xfrm>
                            <a:off x="394203" y="992734"/>
                            <a:ext cx="1217" cy="228"/>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Direcciones Locales de Educación </w:t>
                              </w:r>
                            </w:p>
                          </w:txbxContent>
                        </wps:txbx>
                        <wps:bodyPr lIns="0" tIns="0" rIns="0" bIns="0" anchor="ctr"/>
                      </wps:wsp>
                      <wps:wsp>
                        <wps:cNvPr id="340" name="_s2296"/>
                        <wps:cNvSpPr>
                          <a:spLocks noChangeArrowheads="1"/>
                        </wps:cNvSpPr>
                        <wps:spPr bwMode="auto">
                          <a:xfrm>
                            <a:off x="392263" y="991097"/>
                            <a:ext cx="790" cy="259"/>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Participación y Relaciones Interinstitucionales</w:t>
                              </w:r>
                            </w:p>
                          </w:txbxContent>
                        </wps:txbx>
                        <wps:bodyPr lIns="0" tIns="0" rIns="0" bIns="0" anchor="ctr"/>
                      </wps:wsp>
                      <wps:wsp>
                        <wps:cNvPr id="341" name="_s2298"/>
                        <wps:cNvSpPr>
                          <a:spLocks noChangeArrowheads="1"/>
                        </wps:cNvSpPr>
                        <wps:spPr bwMode="auto">
                          <a:xfrm>
                            <a:off x="392263" y="991461"/>
                            <a:ext cx="790" cy="261"/>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Relaciones con el Sector Educativo Privado</w:t>
                              </w:r>
                            </w:p>
                          </w:txbxContent>
                        </wps:txbx>
                        <wps:bodyPr lIns="0" tIns="0" rIns="0" bIns="0" anchor="ctr"/>
                      </wps:wsp>
                      <wps:wsp>
                        <wps:cNvPr id="342" name="_s2300"/>
                        <wps:cNvSpPr>
                          <a:spLocks noChangeArrowheads="1"/>
                        </wps:cNvSpPr>
                        <wps:spPr bwMode="auto">
                          <a:xfrm>
                            <a:off x="392263" y="991825"/>
                            <a:ext cx="790" cy="259"/>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Inspección y Vigilancia</w:t>
                              </w:r>
                            </w:p>
                          </w:txbxContent>
                        </wps:txbx>
                        <wps:bodyPr lIns="0" tIns="0" rIns="0" bIns="0" anchor="ctr"/>
                      </wps:wsp>
                      <wpg:grpSp>
                        <wpg:cNvPr id="343" name="Group 39"/>
                        <wpg:cNvGrpSpPr>
                          <a:grpSpLocks/>
                        </wpg:cNvGrpSpPr>
                        <wpg:grpSpPr bwMode="auto">
                          <a:xfrm>
                            <a:off x="393316" y="990692"/>
                            <a:ext cx="793" cy="1991"/>
                            <a:chOff x="393316" y="990691"/>
                            <a:chExt cx="843" cy="1250"/>
                          </a:xfrm>
                        </wpg:grpSpPr>
                        <wps:wsp>
                          <wps:cNvPr id="426" name="_s2302"/>
                          <wps:cNvSpPr>
                            <a:spLocks noChangeArrowheads="1"/>
                          </wps:cNvSpPr>
                          <wps:spPr bwMode="auto">
                            <a:xfrm>
                              <a:off x="393316" y="990691"/>
                              <a:ext cx="840" cy="147"/>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Educación</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 Preescolar y Básica </w:t>
                                </w:r>
                              </w:p>
                            </w:txbxContent>
                          </wps:txbx>
                          <wps:bodyPr lIns="0" tIns="0" rIns="0" bIns="0" anchor="ctr"/>
                        </wps:wsp>
                        <wps:wsp>
                          <wps:cNvPr id="427" name="_s2306"/>
                          <wps:cNvSpPr>
                            <a:spLocks noChangeArrowheads="1"/>
                          </wps:cNvSpPr>
                          <wps:spPr bwMode="auto">
                            <a:xfrm>
                              <a:off x="393316" y="990912"/>
                              <a:ext cx="840" cy="147"/>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Educación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Media y Superior </w:t>
                                </w:r>
                              </w:p>
                            </w:txbxContent>
                          </wps:txbx>
                          <wps:bodyPr lIns="0" tIns="0" rIns="0" bIns="0" anchor="ctr"/>
                        </wps:wsp>
                        <wps:wsp>
                          <wps:cNvPr id="428" name="_s2308"/>
                          <wps:cNvSpPr>
                            <a:spLocks noChangeArrowheads="1"/>
                          </wps:cNvSpPr>
                          <wps:spPr bwMode="auto">
                            <a:xfrm>
                              <a:off x="393316" y="991133"/>
                              <a:ext cx="840" cy="146"/>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Ciencias,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Tecnologías y Medios Educativos </w:t>
                                </w:r>
                              </w:p>
                            </w:txbxContent>
                          </wps:txbx>
                          <wps:bodyPr lIns="0" tIns="0" rIns="0" bIns="0" anchor="ctr"/>
                        </wps:wsp>
                        <wps:wsp>
                          <wps:cNvPr id="429" name="_s2310"/>
                          <wps:cNvSpPr>
                            <a:spLocks noChangeArrowheads="1"/>
                          </wps:cNvSpPr>
                          <wps:spPr bwMode="auto">
                            <a:xfrm>
                              <a:off x="393316" y="991353"/>
                              <a:ext cx="840" cy="147"/>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Inclusión e Integración de Poblaciones </w:t>
                                </w:r>
                              </w:p>
                            </w:txbxContent>
                          </wps:txbx>
                          <wps:bodyPr lIns="0" tIns="0" rIns="0" bIns="0" anchor="ctr"/>
                        </wps:wsp>
                        <wps:wsp>
                          <wps:cNvPr id="430" name="_s2312"/>
                          <wps:cNvSpPr>
                            <a:spLocks noChangeArrowheads="1"/>
                          </wps:cNvSpPr>
                          <wps:spPr bwMode="auto">
                            <a:xfrm>
                              <a:off x="393316" y="991537"/>
                              <a:ext cx="843" cy="197"/>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Formación de Docentes e Innovaciones Pedagógicas.  </w:t>
                                </w:r>
                              </w:p>
                            </w:txbxContent>
                          </wps:txbx>
                          <wps:bodyPr lIns="0" tIns="0" rIns="0" bIns="0" anchor="ctr"/>
                        </wps:wsp>
                        <wps:wsp>
                          <wps:cNvPr id="431" name="_s2314"/>
                          <wps:cNvSpPr>
                            <a:spLocks noChangeArrowheads="1"/>
                          </wps:cNvSpPr>
                          <wps:spPr bwMode="auto">
                            <a:xfrm>
                              <a:off x="393316" y="991794"/>
                              <a:ext cx="840" cy="147"/>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Evaluación de la Educación </w:t>
                                </w:r>
                              </w:p>
                            </w:txbxContent>
                          </wps:txbx>
                          <wps:bodyPr lIns="0" tIns="0" rIns="0" bIns="0" anchor="ctr"/>
                        </wps:wsp>
                      </wpg:grpSp>
                      <wps:wsp>
                        <wps:cNvPr id="344" name="_s2320"/>
                        <wps:cNvSpPr>
                          <a:spLocks noChangeArrowheads="1"/>
                        </wps:cNvSpPr>
                        <wps:spPr bwMode="auto">
                          <a:xfrm>
                            <a:off x="394453" y="990689"/>
                            <a:ext cx="835" cy="313"/>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Cobertura</w:t>
                              </w:r>
                            </w:p>
                          </w:txbxContent>
                        </wps:txbx>
                        <wps:bodyPr lIns="0" tIns="0" rIns="0" bIns="0" anchor="ctr"/>
                      </wps:wsp>
                      <wps:wsp>
                        <wps:cNvPr id="345" name="_s2322"/>
                        <wps:cNvSpPr>
                          <a:spLocks noChangeArrowheads="1"/>
                        </wps:cNvSpPr>
                        <wps:spPr bwMode="auto">
                          <a:xfrm>
                            <a:off x="394453" y="991159"/>
                            <a:ext cx="835" cy="313"/>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Bienestar Estudiantil </w:t>
                              </w:r>
                            </w:p>
                          </w:txbxContent>
                        </wps:txbx>
                        <wps:bodyPr lIns="0" tIns="0" rIns="0" bIns="0" anchor="ctr"/>
                      </wps:wsp>
                      <wps:wsp>
                        <wps:cNvPr id="346" name="_s2324"/>
                        <wps:cNvSpPr>
                          <a:spLocks noChangeArrowheads="1"/>
                        </wps:cNvSpPr>
                        <wps:spPr bwMode="auto">
                          <a:xfrm>
                            <a:off x="394471" y="991602"/>
                            <a:ext cx="817" cy="398"/>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Construcción y</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 Conservación de Establecimientos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Educativos</w:t>
                              </w:r>
                            </w:p>
                          </w:txbxContent>
                        </wps:txbx>
                        <wps:bodyPr lIns="0" tIns="0" rIns="0" bIns="0" anchor="ctr"/>
                      </wps:wsp>
                      <wps:wsp>
                        <wps:cNvPr id="347" name="_s2326"/>
                        <wps:cNvSpPr>
                          <a:spLocks noChangeArrowheads="1"/>
                        </wps:cNvSpPr>
                        <wps:spPr bwMode="auto">
                          <a:xfrm>
                            <a:off x="394471" y="992098"/>
                            <a:ext cx="817" cy="313"/>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Dotaciones</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 Escolares </w:t>
                              </w:r>
                            </w:p>
                          </w:txbxContent>
                        </wps:txbx>
                        <wps:bodyPr lIns="0" tIns="0" rIns="0" bIns="0" anchor="ctr"/>
                      </wps:wsp>
                      <wps:wsp>
                        <wps:cNvPr id="348" name="_s2328"/>
                        <wps:cNvSpPr>
                          <a:spLocks noChangeArrowheads="1"/>
                        </wps:cNvSpPr>
                        <wps:spPr bwMode="auto">
                          <a:xfrm>
                            <a:off x="396059" y="990411"/>
                            <a:ext cx="854" cy="148"/>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Talento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Humano </w:t>
                              </w:r>
                            </w:p>
                          </w:txbxContent>
                        </wps:txbx>
                        <wps:bodyPr lIns="0" tIns="0" rIns="0" bIns="0" anchor="ctr"/>
                      </wps:wsp>
                      <wps:wsp>
                        <wps:cNvPr id="349" name="_s2330"/>
                        <wps:cNvSpPr>
                          <a:spLocks noChangeArrowheads="1"/>
                        </wps:cNvSpPr>
                        <wps:spPr bwMode="auto">
                          <a:xfrm>
                            <a:off x="396059" y="991273"/>
                            <a:ext cx="854" cy="148"/>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Contratación </w:t>
                              </w:r>
                            </w:p>
                          </w:txbxContent>
                        </wps:txbx>
                        <wps:bodyPr lIns="0" tIns="0" rIns="0" bIns="0" anchor="ctr"/>
                      </wps:wsp>
                      <wps:wsp>
                        <wps:cNvPr id="350" name="_s2332"/>
                        <wps:cNvSpPr>
                          <a:spLocks noChangeArrowheads="1"/>
                        </wps:cNvSpPr>
                        <wps:spPr bwMode="auto">
                          <a:xfrm>
                            <a:off x="396059" y="991927"/>
                            <a:ext cx="868" cy="164"/>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Servicios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Administrativos </w:t>
                              </w:r>
                            </w:p>
                          </w:txbxContent>
                        </wps:txbx>
                        <wps:bodyPr lIns="0" tIns="0" rIns="0" bIns="0" anchor="ctr"/>
                      </wps:wsp>
                      <wps:wsp>
                        <wps:cNvPr id="351" name="_s2334"/>
                        <wps:cNvSpPr>
                          <a:spLocks noChangeArrowheads="1"/>
                        </wps:cNvSpPr>
                        <wps:spPr bwMode="auto">
                          <a:xfrm>
                            <a:off x="396104" y="992588"/>
                            <a:ext cx="853" cy="148"/>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Financiera </w:t>
                              </w:r>
                            </w:p>
                          </w:txbxContent>
                        </wps:txbx>
                        <wps:bodyPr lIns="0" tIns="0" rIns="0" bIns="0" anchor="ctr"/>
                      </wps:wsp>
                      <wps:wsp>
                        <wps:cNvPr id="352" name="_s2336"/>
                        <wps:cNvSpPr>
                          <a:spLocks noChangeArrowheads="1"/>
                        </wps:cNvSpPr>
                        <wps:spPr bwMode="auto">
                          <a:xfrm>
                            <a:off x="396603" y="990649"/>
                            <a:ext cx="854" cy="149"/>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Personal </w:t>
                              </w:r>
                            </w:p>
                          </w:txbxContent>
                        </wps:txbx>
                        <wps:bodyPr lIns="0" tIns="0" rIns="0" bIns="0" anchor="ctr"/>
                      </wps:wsp>
                      <wps:wsp>
                        <wps:cNvPr id="353" name="_s2338"/>
                        <wps:cNvSpPr>
                          <a:spLocks noChangeArrowheads="1"/>
                        </wps:cNvSpPr>
                        <wps:spPr bwMode="auto">
                          <a:xfrm>
                            <a:off x="396603" y="990877"/>
                            <a:ext cx="853" cy="148"/>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Escalafón Docente </w:t>
                              </w:r>
                            </w:p>
                          </w:txbxContent>
                        </wps:txbx>
                        <wps:bodyPr lIns="0" tIns="0" rIns="0" bIns="0" anchor="ctr"/>
                      </wps:wsp>
                      <wps:wsp>
                        <wps:cNvPr id="354" name="_s2340"/>
                        <wps:cNvSpPr>
                          <a:spLocks noChangeArrowheads="1"/>
                        </wps:cNvSpPr>
                        <wps:spPr bwMode="auto">
                          <a:xfrm>
                            <a:off x="396648" y="991518"/>
                            <a:ext cx="853" cy="149"/>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Apoyo Precontractual</w:t>
                              </w:r>
                            </w:p>
                          </w:txbxContent>
                        </wps:txbx>
                        <wps:bodyPr lIns="0" tIns="0" rIns="0" bIns="0" anchor="ctr"/>
                      </wps:wsp>
                      <wps:wsp>
                        <wps:cNvPr id="355" name="_s2342"/>
                        <wps:cNvSpPr>
                          <a:spLocks noChangeArrowheads="1"/>
                        </wps:cNvSpPr>
                        <wps:spPr bwMode="auto">
                          <a:xfrm>
                            <a:off x="396648" y="991745"/>
                            <a:ext cx="853" cy="148"/>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Contratos</w:t>
                              </w:r>
                            </w:p>
                          </w:txbxContent>
                        </wps:txbx>
                        <wps:bodyPr lIns="0" tIns="0" rIns="0" bIns="0" anchor="ctr"/>
                      </wps:wsp>
                      <wps:wsp>
                        <wps:cNvPr id="356" name="_s2344"/>
                        <wps:cNvSpPr>
                          <a:spLocks noChangeArrowheads="1"/>
                        </wps:cNvSpPr>
                        <wps:spPr bwMode="auto">
                          <a:xfrm>
                            <a:off x="396648" y="992155"/>
                            <a:ext cx="853" cy="148"/>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Servicio al Ciudadano </w:t>
                              </w:r>
                            </w:p>
                          </w:txbxContent>
                        </wps:txbx>
                        <wps:bodyPr lIns="0" tIns="0" rIns="0" bIns="0" anchor="ctr"/>
                      </wps:wsp>
                      <wps:wsp>
                        <wps:cNvPr id="357" name="_s2348"/>
                        <wps:cNvSpPr>
                          <a:spLocks noChangeArrowheads="1"/>
                        </wps:cNvSpPr>
                        <wps:spPr bwMode="auto">
                          <a:xfrm>
                            <a:off x="396648" y="992768"/>
                            <a:ext cx="853" cy="149"/>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Presupuesto</w:t>
                              </w:r>
                            </w:p>
                          </w:txbxContent>
                        </wps:txbx>
                        <wps:bodyPr lIns="0" tIns="0" rIns="0" bIns="0" anchor="ctr"/>
                      </wps:wsp>
                      <wps:wsp>
                        <wps:cNvPr id="358" name="_s2350"/>
                        <wps:cNvSpPr>
                          <a:spLocks noChangeArrowheads="1"/>
                        </wps:cNvSpPr>
                        <wps:spPr bwMode="auto">
                          <a:xfrm>
                            <a:off x="396648" y="992996"/>
                            <a:ext cx="853" cy="148"/>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Tesorería y Contabilidad</w:t>
                              </w:r>
                            </w:p>
                          </w:txbxContent>
                        </wps:txbx>
                        <wps:bodyPr lIns="0" tIns="0" rIns="0" bIns="0" anchor="ctr"/>
                      </wps:wsp>
                      <wps:wsp>
                        <wps:cNvPr id="359" name="_s2352"/>
                        <wps:cNvSpPr>
                          <a:spLocks noChangeArrowheads="1"/>
                        </wps:cNvSpPr>
                        <wps:spPr bwMode="auto">
                          <a:xfrm>
                            <a:off x="396648" y="992381"/>
                            <a:ext cx="854" cy="149"/>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Administrativa de REDP </w:t>
                              </w:r>
                            </w:p>
                          </w:txbxContent>
                        </wps:txbx>
                        <wps:bodyPr lIns="0" tIns="0" rIns="0" bIns="0" anchor="ctr"/>
                      </wps:wsp>
                      <wps:wsp>
                        <wps:cNvPr id="360" name="_s2354"/>
                        <wps:cNvSpPr>
                          <a:spLocks noChangeArrowheads="1"/>
                        </wps:cNvSpPr>
                        <wps:spPr bwMode="auto">
                          <a:xfrm>
                            <a:off x="396603" y="991104"/>
                            <a:ext cx="854" cy="149"/>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Nómina</w:t>
                              </w:r>
                            </w:p>
                          </w:txbxContent>
                        </wps:txbx>
                        <wps:bodyPr lIns="0" tIns="0" rIns="0" bIns="0" anchor="ctr"/>
                      </wps:wsp>
                      <wps:wsp>
                        <wps:cNvPr id="361" name="_s2054"/>
                        <wps:cNvSpPr>
                          <a:spLocks noChangeArrowheads="1"/>
                        </wps:cNvSpPr>
                        <wps:spPr bwMode="auto">
                          <a:xfrm>
                            <a:off x="394199" y="989013"/>
                            <a:ext cx="1264" cy="185"/>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b/>
                                  <w:bCs/>
                                  <w:color w:val="000000" w:themeColor="text1"/>
                                  <w:kern w:val="24"/>
                                  <w:lang w:val="es-CO"/>
                                </w:rPr>
                                <w:t>Despacho del Secretario</w:t>
                              </w:r>
                            </w:p>
                          </w:txbxContent>
                        </wps:txbx>
                        <wps:bodyPr lIns="0" tIns="0" rIns="0" bIns="0" anchor="ctr"/>
                      </wps:wsp>
                      <wps:wsp>
                        <wps:cNvPr id="362" name="_s2061"/>
                        <wps:cNvSpPr>
                          <a:spLocks noChangeArrowheads="1"/>
                        </wps:cNvSpPr>
                        <wps:spPr bwMode="auto">
                          <a:xfrm>
                            <a:off x="393655" y="989552"/>
                            <a:ext cx="819" cy="185"/>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Asesora Jurídica </w:t>
                              </w:r>
                            </w:p>
                          </w:txbxContent>
                        </wps:txbx>
                        <wps:bodyPr lIns="0" tIns="0" rIns="0" bIns="0" anchor="ctr"/>
                      </wps:wsp>
                      <wps:wsp>
                        <wps:cNvPr id="363" name="_s2063"/>
                        <wps:cNvSpPr>
                          <a:spLocks noChangeArrowheads="1"/>
                        </wps:cNvSpPr>
                        <wps:spPr bwMode="auto">
                          <a:xfrm>
                            <a:off x="395152" y="989555"/>
                            <a:ext cx="820" cy="185"/>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Control Disciplinario </w:t>
                              </w:r>
                            </w:p>
                          </w:txbxContent>
                        </wps:txbx>
                        <wps:bodyPr lIns="0" tIns="0" rIns="0" bIns="0" anchor="ctr"/>
                      </wps:wsp>
                      <wps:wsp>
                        <wps:cNvPr id="364" name="_s2065"/>
                        <wps:cNvSpPr>
                          <a:spLocks noChangeArrowheads="1"/>
                        </wps:cNvSpPr>
                        <wps:spPr bwMode="auto">
                          <a:xfrm>
                            <a:off x="393655" y="989283"/>
                            <a:ext cx="819" cy="184"/>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Asesora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de Planeación </w:t>
                              </w:r>
                            </w:p>
                          </w:txbxContent>
                        </wps:txbx>
                        <wps:bodyPr lIns="0" tIns="0" rIns="0" bIns="0" anchor="ctr"/>
                      </wps:wsp>
                      <wps:wsp>
                        <wps:cNvPr id="365" name="_s2067"/>
                        <wps:cNvSpPr>
                          <a:spLocks noChangeArrowheads="1"/>
                        </wps:cNvSpPr>
                        <wps:spPr bwMode="auto">
                          <a:xfrm>
                            <a:off x="395152" y="989283"/>
                            <a:ext cx="819" cy="184"/>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Control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 Interno</w:t>
                              </w:r>
                            </w:p>
                          </w:txbxContent>
                        </wps:txbx>
                        <wps:bodyPr lIns="0" tIns="0" rIns="0" bIns="0" anchor="ctr"/>
                      </wps:wsp>
                      <wps:wsp>
                        <wps:cNvPr id="366" name="_s2288"/>
                        <wps:cNvSpPr>
                          <a:spLocks noChangeArrowheads="1"/>
                        </wps:cNvSpPr>
                        <wps:spPr bwMode="auto">
                          <a:xfrm>
                            <a:off x="393644" y="989778"/>
                            <a:ext cx="827" cy="183"/>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Asesora de</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Comunicación y Prensa </w:t>
                              </w:r>
                            </w:p>
                          </w:txbxContent>
                        </wps:txbx>
                        <wps:bodyPr lIns="0" tIns="0" rIns="0" bIns="0" anchor="ctr"/>
                      </wps:wsp>
                      <wps:wsp>
                        <wps:cNvPr id="367" name="_s2294"/>
                        <wps:cNvSpPr>
                          <a:spLocks noChangeArrowheads="1"/>
                        </wps:cNvSpPr>
                        <wps:spPr bwMode="auto">
                          <a:xfrm>
                            <a:off x="394225" y="993098"/>
                            <a:ext cx="1217" cy="137"/>
                          </a:xfrm>
                          <a:prstGeom prst="roundRect">
                            <a:avLst>
                              <a:gd name="adj" fmla="val 16667"/>
                            </a:avLst>
                          </a:prstGeom>
                          <a:solidFill>
                            <a:schemeClr val="bg1"/>
                          </a:solidFill>
                          <a:ln w="9525">
                            <a:solidFill>
                              <a:schemeClr val="tx1"/>
                            </a:solidFill>
                            <a:round/>
                            <a:headEnd/>
                            <a:tailEnd/>
                          </a:ln>
                        </wps:spPr>
                        <wps:txbx>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COLEGIOS DISTRITALES </w:t>
                              </w:r>
                            </w:p>
                          </w:txbxContent>
                        </wps:txbx>
                        <wps:bodyPr lIns="0" tIns="0" rIns="0" bIns="0" anchor="ctr"/>
                      </wps:wsp>
                      <wps:wsp>
                        <wps:cNvPr id="368" name="Line 88"/>
                        <wps:cNvCnPr/>
                        <wps:spPr bwMode="auto">
                          <a:xfrm>
                            <a:off x="393543" y="990324"/>
                            <a:ext cx="0" cy="0"/>
                          </a:xfrm>
                          <a:prstGeom prst="line">
                            <a:avLst/>
                          </a:prstGeom>
                          <a:noFill/>
                          <a:ln w="9525">
                            <a:solidFill>
                              <a:schemeClr val="tx1"/>
                            </a:solidFill>
                            <a:prstDash val="sysDot"/>
                            <a:round/>
                            <a:headEnd/>
                            <a:tailEnd/>
                          </a:ln>
                        </wps:spPr>
                        <wps:bodyPr/>
                      </wps:wsp>
                      <wps:wsp>
                        <wps:cNvPr id="369" name="Line 94"/>
                        <wps:cNvCnPr/>
                        <wps:spPr bwMode="auto">
                          <a:xfrm>
                            <a:off x="393020" y="990014"/>
                            <a:ext cx="3130" cy="0"/>
                          </a:xfrm>
                          <a:prstGeom prst="line">
                            <a:avLst/>
                          </a:prstGeom>
                          <a:noFill/>
                          <a:ln w="28575">
                            <a:solidFill>
                              <a:schemeClr val="tx1"/>
                            </a:solidFill>
                            <a:round/>
                            <a:headEnd/>
                            <a:tailEnd/>
                          </a:ln>
                          <a:effectLst/>
                        </wps:spPr>
                        <wps:bodyPr/>
                      </wps:wsp>
                      <wps:wsp>
                        <wps:cNvPr id="370" name="Line 95"/>
                        <wps:cNvCnPr/>
                        <wps:spPr bwMode="auto">
                          <a:xfrm>
                            <a:off x="394789" y="989198"/>
                            <a:ext cx="0" cy="816"/>
                          </a:xfrm>
                          <a:prstGeom prst="line">
                            <a:avLst/>
                          </a:prstGeom>
                          <a:noFill/>
                          <a:ln w="28575">
                            <a:solidFill>
                              <a:schemeClr val="tx1"/>
                            </a:solidFill>
                            <a:round/>
                            <a:headEnd/>
                            <a:tailEnd/>
                          </a:ln>
                          <a:effectLst/>
                        </wps:spPr>
                        <wps:bodyPr/>
                      </wps:wsp>
                      <wps:wsp>
                        <wps:cNvPr id="371" name="Line 96"/>
                        <wps:cNvCnPr/>
                        <wps:spPr bwMode="auto">
                          <a:xfrm>
                            <a:off x="394471" y="989379"/>
                            <a:ext cx="681" cy="0"/>
                          </a:xfrm>
                          <a:prstGeom prst="line">
                            <a:avLst/>
                          </a:prstGeom>
                          <a:noFill/>
                          <a:ln w="28575">
                            <a:solidFill>
                              <a:schemeClr val="tx1"/>
                            </a:solidFill>
                            <a:round/>
                            <a:headEnd/>
                            <a:tailEnd/>
                          </a:ln>
                          <a:effectLst/>
                        </wps:spPr>
                        <wps:bodyPr/>
                      </wps:wsp>
                      <wps:wsp>
                        <wps:cNvPr id="372" name="Line 97"/>
                        <wps:cNvCnPr/>
                        <wps:spPr bwMode="auto">
                          <a:xfrm>
                            <a:off x="394471" y="989651"/>
                            <a:ext cx="681" cy="0"/>
                          </a:xfrm>
                          <a:prstGeom prst="line">
                            <a:avLst/>
                          </a:prstGeom>
                          <a:noFill/>
                          <a:ln w="28575">
                            <a:solidFill>
                              <a:schemeClr val="tx1"/>
                            </a:solidFill>
                            <a:round/>
                            <a:headEnd/>
                            <a:tailEnd/>
                          </a:ln>
                          <a:effectLst/>
                        </wps:spPr>
                        <wps:bodyPr/>
                      </wps:wsp>
                      <wps:wsp>
                        <wps:cNvPr id="373" name="Line 98"/>
                        <wps:cNvCnPr/>
                        <wps:spPr bwMode="auto">
                          <a:xfrm flipH="1">
                            <a:off x="394471" y="989878"/>
                            <a:ext cx="318" cy="0"/>
                          </a:xfrm>
                          <a:prstGeom prst="line">
                            <a:avLst/>
                          </a:prstGeom>
                          <a:noFill/>
                          <a:ln w="28575">
                            <a:solidFill>
                              <a:schemeClr val="tx1"/>
                            </a:solidFill>
                            <a:round/>
                            <a:headEnd/>
                            <a:tailEnd/>
                          </a:ln>
                          <a:effectLst/>
                        </wps:spPr>
                        <wps:bodyPr/>
                      </wps:wsp>
                      <wps:wsp>
                        <wps:cNvPr id="374" name="Line 99"/>
                        <wps:cNvCnPr/>
                        <wps:spPr bwMode="auto">
                          <a:xfrm>
                            <a:off x="393020" y="990014"/>
                            <a:ext cx="0" cy="91"/>
                          </a:xfrm>
                          <a:prstGeom prst="line">
                            <a:avLst/>
                          </a:prstGeom>
                          <a:noFill/>
                          <a:ln w="28575">
                            <a:solidFill>
                              <a:schemeClr val="tx1"/>
                            </a:solidFill>
                            <a:round/>
                            <a:headEnd/>
                            <a:tailEnd/>
                          </a:ln>
                          <a:effectLst/>
                        </wps:spPr>
                        <wps:bodyPr/>
                      </wps:wsp>
                      <wps:wsp>
                        <wps:cNvPr id="375" name="Line 100"/>
                        <wps:cNvCnPr/>
                        <wps:spPr bwMode="auto">
                          <a:xfrm>
                            <a:off x="394199" y="990014"/>
                            <a:ext cx="0" cy="91"/>
                          </a:xfrm>
                          <a:prstGeom prst="line">
                            <a:avLst/>
                          </a:prstGeom>
                          <a:noFill/>
                          <a:ln w="28575">
                            <a:solidFill>
                              <a:schemeClr val="tx1"/>
                            </a:solidFill>
                            <a:round/>
                            <a:headEnd/>
                            <a:tailEnd/>
                          </a:ln>
                          <a:effectLst/>
                        </wps:spPr>
                        <wps:bodyPr/>
                      </wps:wsp>
                      <wps:wsp>
                        <wps:cNvPr id="376" name="Line 101"/>
                        <wps:cNvCnPr/>
                        <wps:spPr bwMode="auto">
                          <a:xfrm>
                            <a:off x="395197" y="990014"/>
                            <a:ext cx="0" cy="91"/>
                          </a:xfrm>
                          <a:prstGeom prst="line">
                            <a:avLst/>
                          </a:prstGeom>
                          <a:noFill/>
                          <a:ln w="28575">
                            <a:solidFill>
                              <a:schemeClr val="tx1"/>
                            </a:solidFill>
                            <a:round/>
                            <a:headEnd/>
                            <a:tailEnd/>
                          </a:ln>
                          <a:effectLst/>
                        </wps:spPr>
                        <wps:bodyPr/>
                      </wps:wsp>
                      <wps:wsp>
                        <wps:cNvPr id="377" name="Line 102"/>
                        <wps:cNvCnPr/>
                        <wps:spPr bwMode="auto">
                          <a:xfrm>
                            <a:off x="396150" y="990014"/>
                            <a:ext cx="0" cy="91"/>
                          </a:xfrm>
                          <a:prstGeom prst="line">
                            <a:avLst/>
                          </a:prstGeom>
                          <a:noFill/>
                          <a:ln w="28575">
                            <a:solidFill>
                              <a:schemeClr val="tx1"/>
                            </a:solidFill>
                            <a:round/>
                            <a:headEnd/>
                            <a:tailEnd/>
                          </a:ln>
                          <a:effectLst/>
                        </wps:spPr>
                        <wps:bodyPr/>
                      </wps:wsp>
                      <wps:wsp>
                        <wps:cNvPr id="378" name="Line 103"/>
                        <wps:cNvCnPr/>
                        <wps:spPr bwMode="auto">
                          <a:xfrm>
                            <a:off x="393156" y="990286"/>
                            <a:ext cx="0" cy="1678"/>
                          </a:xfrm>
                          <a:prstGeom prst="line">
                            <a:avLst/>
                          </a:prstGeom>
                          <a:noFill/>
                          <a:ln w="28575">
                            <a:solidFill>
                              <a:schemeClr val="tx1"/>
                            </a:solidFill>
                            <a:round/>
                            <a:headEnd/>
                            <a:tailEnd/>
                          </a:ln>
                          <a:effectLst/>
                        </wps:spPr>
                        <wps:bodyPr/>
                      </wps:wsp>
                      <wps:wsp>
                        <wps:cNvPr id="379" name="Line 104"/>
                        <wps:cNvCnPr/>
                        <wps:spPr bwMode="auto">
                          <a:xfrm flipH="1">
                            <a:off x="393065" y="990830"/>
                            <a:ext cx="91" cy="0"/>
                          </a:xfrm>
                          <a:prstGeom prst="line">
                            <a:avLst/>
                          </a:prstGeom>
                          <a:noFill/>
                          <a:ln w="28575">
                            <a:solidFill>
                              <a:schemeClr val="tx1"/>
                            </a:solidFill>
                            <a:round/>
                            <a:headEnd/>
                            <a:tailEnd/>
                          </a:ln>
                          <a:effectLst/>
                        </wps:spPr>
                        <wps:bodyPr/>
                      </wps:wsp>
                      <wps:wsp>
                        <wps:cNvPr id="380" name="Line 105"/>
                        <wps:cNvCnPr/>
                        <wps:spPr bwMode="auto">
                          <a:xfrm flipH="1">
                            <a:off x="393065" y="991239"/>
                            <a:ext cx="91" cy="0"/>
                          </a:xfrm>
                          <a:prstGeom prst="line">
                            <a:avLst/>
                          </a:prstGeom>
                          <a:noFill/>
                          <a:ln w="28575">
                            <a:solidFill>
                              <a:schemeClr val="tx1"/>
                            </a:solidFill>
                            <a:round/>
                            <a:headEnd/>
                            <a:tailEnd/>
                          </a:ln>
                          <a:effectLst/>
                        </wps:spPr>
                        <wps:bodyPr/>
                      </wps:wsp>
                      <wps:wsp>
                        <wps:cNvPr id="381" name="Line 106"/>
                        <wps:cNvCnPr/>
                        <wps:spPr bwMode="auto">
                          <a:xfrm flipH="1">
                            <a:off x="393065" y="991602"/>
                            <a:ext cx="91" cy="0"/>
                          </a:xfrm>
                          <a:prstGeom prst="line">
                            <a:avLst/>
                          </a:prstGeom>
                          <a:noFill/>
                          <a:ln w="28575">
                            <a:solidFill>
                              <a:schemeClr val="tx1"/>
                            </a:solidFill>
                            <a:round/>
                            <a:headEnd/>
                            <a:tailEnd/>
                          </a:ln>
                          <a:effectLst/>
                        </wps:spPr>
                        <wps:bodyPr/>
                      </wps:wsp>
                      <wps:wsp>
                        <wps:cNvPr id="382" name="Line 107"/>
                        <wps:cNvCnPr/>
                        <wps:spPr bwMode="auto">
                          <a:xfrm flipH="1">
                            <a:off x="393065" y="991964"/>
                            <a:ext cx="91" cy="0"/>
                          </a:xfrm>
                          <a:prstGeom prst="line">
                            <a:avLst/>
                          </a:prstGeom>
                          <a:noFill/>
                          <a:ln w="28575">
                            <a:solidFill>
                              <a:schemeClr val="tx1"/>
                            </a:solidFill>
                            <a:round/>
                            <a:headEnd/>
                            <a:tailEnd/>
                          </a:ln>
                          <a:effectLst/>
                        </wps:spPr>
                        <wps:bodyPr/>
                      </wps:wsp>
                      <wps:wsp>
                        <wps:cNvPr id="383" name="Line 108"/>
                        <wps:cNvCnPr/>
                        <wps:spPr bwMode="auto">
                          <a:xfrm>
                            <a:off x="394245" y="990286"/>
                            <a:ext cx="0" cy="2268"/>
                          </a:xfrm>
                          <a:prstGeom prst="line">
                            <a:avLst/>
                          </a:prstGeom>
                          <a:noFill/>
                          <a:ln w="28575">
                            <a:solidFill>
                              <a:schemeClr val="tx1"/>
                            </a:solidFill>
                            <a:round/>
                            <a:headEnd/>
                            <a:tailEnd/>
                          </a:ln>
                          <a:effectLst/>
                        </wps:spPr>
                        <wps:bodyPr/>
                      </wps:wsp>
                      <wps:wsp>
                        <wps:cNvPr id="384" name="Line 109"/>
                        <wps:cNvCnPr/>
                        <wps:spPr bwMode="auto">
                          <a:xfrm flipH="1">
                            <a:off x="394109" y="990830"/>
                            <a:ext cx="136" cy="0"/>
                          </a:xfrm>
                          <a:prstGeom prst="line">
                            <a:avLst/>
                          </a:prstGeom>
                          <a:noFill/>
                          <a:ln w="28575">
                            <a:solidFill>
                              <a:schemeClr val="tx1"/>
                            </a:solidFill>
                            <a:round/>
                            <a:headEnd/>
                            <a:tailEnd/>
                          </a:ln>
                          <a:effectLst/>
                        </wps:spPr>
                        <wps:bodyPr/>
                      </wps:wsp>
                      <wps:wsp>
                        <wps:cNvPr id="385" name="Line 110"/>
                        <wps:cNvCnPr/>
                        <wps:spPr bwMode="auto">
                          <a:xfrm flipH="1">
                            <a:off x="394109" y="991148"/>
                            <a:ext cx="136" cy="0"/>
                          </a:xfrm>
                          <a:prstGeom prst="line">
                            <a:avLst/>
                          </a:prstGeom>
                          <a:noFill/>
                          <a:ln w="28575">
                            <a:solidFill>
                              <a:schemeClr val="tx1"/>
                            </a:solidFill>
                            <a:round/>
                            <a:headEnd/>
                            <a:tailEnd/>
                          </a:ln>
                          <a:effectLst/>
                        </wps:spPr>
                        <wps:bodyPr/>
                      </wps:wsp>
                      <wps:wsp>
                        <wps:cNvPr id="386" name="Line 112"/>
                        <wps:cNvCnPr/>
                        <wps:spPr bwMode="auto">
                          <a:xfrm flipH="1">
                            <a:off x="394109" y="991511"/>
                            <a:ext cx="136" cy="0"/>
                          </a:xfrm>
                          <a:prstGeom prst="line">
                            <a:avLst/>
                          </a:prstGeom>
                          <a:noFill/>
                          <a:ln w="28575">
                            <a:solidFill>
                              <a:schemeClr val="tx1"/>
                            </a:solidFill>
                            <a:round/>
                            <a:headEnd/>
                            <a:tailEnd/>
                          </a:ln>
                          <a:effectLst/>
                        </wps:spPr>
                        <wps:bodyPr/>
                      </wps:wsp>
                      <wps:wsp>
                        <wps:cNvPr id="387" name="Line 113"/>
                        <wps:cNvCnPr/>
                        <wps:spPr bwMode="auto">
                          <a:xfrm flipH="1">
                            <a:off x="394109" y="991874"/>
                            <a:ext cx="136" cy="0"/>
                          </a:xfrm>
                          <a:prstGeom prst="line">
                            <a:avLst/>
                          </a:prstGeom>
                          <a:noFill/>
                          <a:ln w="28575">
                            <a:solidFill>
                              <a:schemeClr val="tx1"/>
                            </a:solidFill>
                            <a:round/>
                            <a:headEnd/>
                            <a:tailEnd/>
                          </a:ln>
                          <a:effectLst/>
                        </wps:spPr>
                        <wps:bodyPr/>
                      </wps:wsp>
                      <wps:wsp>
                        <wps:cNvPr id="388" name="Line 114"/>
                        <wps:cNvCnPr/>
                        <wps:spPr bwMode="auto">
                          <a:xfrm flipH="1">
                            <a:off x="394109" y="992191"/>
                            <a:ext cx="136" cy="0"/>
                          </a:xfrm>
                          <a:prstGeom prst="line">
                            <a:avLst/>
                          </a:prstGeom>
                          <a:noFill/>
                          <a:ln w="28575">
                            <a:solidFill>
                              <a:schemeClr val="tx1"/>
                            </a:solidFill>
                            <a:round/>
                            <a:headEnd/>
                            <a:tailEnd/>
                          </a:ln>
                          <a:effectLst/>
                        </wps:spPr>
                        <wps:bodyPr/>
                      </wps:wsp>
                      <wps:wsp>
                        <wps:cNvPr id="389" name="Line 115"/>
                        <wps:cNvCnPr/>
                        <wps:spPr bwMode="auto">
                          <a:xfrm flipH="1">
                            <a:off x="394109" y="992554"/>
                            <a:ext cx="136" cy="0"/>
                          </a:xfrm>
                          <a:prstGeom prst="line">
                            <a:avLst/>
                          </a:prstGeom>
                          <a:noFill/>
                          <a:ln w="28575">
                            <a:solidFill>
                              <a:schemeClr val="tx1"/>
                            </a:solidFill>
                            <a:round/>
                            <a:headEnd/>
                            <a:tailEnd/>
                          </a:ln>
                          <a:effectLst/>
                        </wps:spPr>
                        <wps:bodyPr/>
                      </wps:wsp>
                      <wps:wsp>
                        <wps:cNvPr id="390" name="Line 116"/>
                        <wps:cNvCnPr/>
                        <wps:spPr bwMode="auto">
                          <a:xfrm>
                            <a:off x="395424" y="990286"/>
                            <a:ext cx="0" cy="1951"/>
                          </a:xfrm>
                          <a:prstGeom prst="line">
                            <a:avLst/>
                          </a:prstGeom>
                          <a:noFill/>
                          <a:ln w="28575">
                            <a:solidFill>
                              <a:schemeClr val="tx1"/>
                            </a:solidFill>
                            <a:round/>
                            <a:headEnd/>
                            <a:tailEnd/>
                          </a:ln>
                          <a:effectLst/>
                        </wps:spPr>
                        <wps:bodyPr/>
                      </wps:wsp>
                      <wps:wsp>
                        <wps:cNvPr id="391" name="Line 117"/>
                        <wps:cNvCnPr/>
                        <wps:spPr bwMode="auto">
                          <a:xfrm flipH="1">
                            <a:off x="395288" y="990830"/>
                            <a:ext cx="136" cy="0"/>
                          </a:xfrm>
                          <a:prstGeom prst="line">
                            <a:avLst/>
                          </a:prstGeom>
                          <a:noFill/>
                          <a:ln w="28575">
                            <a:solidFill>
                              <a:schemeClr val="tx1"/>
                            </a:solidFill>
                            <a:round/>
                            <a:headEnd/>
                            <a:tailEnd/>
                          </a:ln>
                          <a:effectLst/>
                        </wps:spPr>
                        <wps:bodyPr/>
                      </wps:wsp>
                      <wps:wsp>
                        <wps:cNvPr id="392" name="Line 118"/>
                        <wps:cNvCnPr/>
                        <wps:spPr bwMode="auto">
                          <a:xfrm flipH="1">
                            <a:off x="395288" y="991329"/>
                            <a:ext cx="136" cy="0"/>
                          </a:xfrm>
                          <a:prstGeom prst="line">
                            <a:avLst/>
                          </a:prstGeom>
                          <a:noFill/>
                          <a:ln w="28575">
                            <a:solidFill>
                              <a:schemeClr val="tx1"/>
                            </a:solidFill>
                            <a:round/>
                            <a:headEnd/>
                            <a:tailEnd/>
                          </a:ln>
                          <a:effectLst/>
                        </wps:spPr>
                        <wps:bodyPr/>
                      </wps:wsp>
                      <wps:wsp>
                        <wps:cNvPr id="393" name="Line 119"/>
                        <wps:cNvCnPr/>
                        <wps:spPr bwMode="auto">
                          <a:xfrm flipH="1">
                            <a:off x="395288" y="991783"/>
                            <a:ext cx="136" cy="0"/>
                          </a:xfrm>
                          <a:prstGeom prst="line">
                            <a:avLst/>
                          </a:prstGeom>
                          <a:noFill/>
                          <a:ln w="28575">
                            <a:solidFill>
                              <a:schemeClr val="tx1"/>
                            </a:solidFill>
                            <a:round/>
                            <a:headEnd/>
                            <a:tailEnd/>
                          </a:ln>
                          <a:effectLst/>
                        </wps:spPr>
                        <wps:bodyPr/>
                      </wps:wsp>
                      <wps:wsp>
                        <wps:cNvPr id="394" name="Line 120"/>
                        <wps:cNvCnPr/>
                        <wps:spPr bwMode="auto">
                          <a:xfrm flipH="1">
                            <a:off x="395288" y="992237"/>
                            <a:ext cx="136" cy="0"/>
                          </a:xfrm>
                          <a:prstGeom prst="line">
                            <a:avLst/>
                          </a:prstGeom>
                          <a:noFill/>
                          <a:ln w="28575">
                            <a:solidFill>
                              <a:schemeClr val="tx1"/>
                            </a:solidFill>
                            <a:round/>
                            <a:headEnd/>
                            <a:tailEnd/>
                          </a:ln>
                          <a:effectLst/>
                        </wps:spPr>
                        <wps:bodyPr/>
                      </wps:wsp>
                      <wps:wsp>
                        <wps:cNvPr id="395" name="Line 121"/>
                        <wps:cNvCnPr/>
                        <wps:spPr bwMode="auto">
                          <a:xfrm>
                            <a:off x="395878" y="990286"/>
                            <a:ext cx="0" cy="2404"/>
                          </a:xfrm>
                          <a:prstGeom prst="line">
                            <a:avLst/>
                          </a:prstGeom>
                          <a:noFill/>
                          <a:ln w="28575">
                            <a:solidFill>
                              <a:schemeClr val="tx1"/>
                            </a:solidFill>
                            <a:round/>
                            <a:headEnd/>
                            <a:tailEnd/>
                          </a:ln>
                          <a:effectLst/>
                        </wps:spPr>
                        <wps:bodyPr/>
                      </wps:wsp>
                      <wps:wsp>
                        <wps:cNvPr id="396" name="Line 122"/>
                        <wps:cNvCnPr/>
                        <wps:spPr bwMode="auto">
                          <a:xfrm>
                            <a:off x="395878" y="990513"/>
                            <a:ext cx="181" cy="0"/>
                          </a:xfrm>
                          <a:prstGeom prst="line">
                            <a:avLst/>
                          </a:prstGeom>
                          <a:noFill/>
                          <a:ln w="28575">
                            <a:solidFill>
                              <a:schemeClr val="tx1"/>
                            </a:solidFill>
                            <a:round/>
                            <a:headEnd/>
                            <a:tailEnd/>
                          </a:ln>
                          <a:effectLst/>
                        </wps:spPr>
                        <wps:bodyPr/>
                      </wps:wsp>
                      <wps:wsp>
                        <wps:cNvPr id="397" name="Line 123"/>
                        <wps:cNvCnPr/>
                        <wps:spPr bwMode="auto">
                          <a:xfrm>
                            <a:off x="395878" y="991375"/>
                            <a:ext cx="181" cy="0"/>
                          </a:xfrm>
                          <a:prstGeom prst="line">
                            <a:avLst/>
                          </a:prstGeom>
                          <a:noFill/>
                          <a:ln w="28575">
                            <a:solidFill>
                              <a:schemeClr val="tx1"/>
                            </a:solidFill>
                            <a:round/>
                            <a:headEnd/>
                            <a:tailEnd/>
                          </a:ln>
                          <a:effectLst/>
                        </wps:spPr>
                        <wps:bodyPr/>
                      </wps:wsp>
                      <wps:wsp>
                        <wps:cNvPr id="398" name="Line 124"/>
                        <wps:cNvCnPr/>
                        <wps:spPr bwMode="auto">
                          <a:xfrm>
                            <a:off x="395878" y="992010"/>
                            <a:ext cx="181" cy="0"/>
                          </a:xfrm>
                          <a:prstGeom prst="line">
                            <a:avLst/>
                          </a:prstGeom>
                          <a:noFill/>
                          <a:ln w="28575">
                            <a:solidFill>
                              <a:schemeClr val="tx1"/>
                            </a:solidFill>
                            <a:round/>
                            <a:headEnd/>
                            <a:tailEnd/>
                          </a:ln>
                          <a:effectLst/>
                        </wps:spPr>
                        <wps:bodyPr/>
                      </wps:wsp>
                      <wps:wsp>
                        <wps:cNvPr id="399" name="Line 125"/>
                        <wps:cNvCnPr/>
                        <wps:spPr bwMode="auto">
                          <a:xfrm>
                            <a:off x="395878" y="992690"/>
                            <a:ext cx="226" cy="0"/>
                          </a:xfrm>
                          <a:prstGeom prst="line">
                            <a:avLst/>
                          </a:prstGeom>
                          <a:noFill/>
                          <a:ln w="28575">
                            <a:solidFill>
                              <a:schemeClr val="tx1"/>
                            </a:solidFill>
                            <a:round/>
                            <a:headEnd/>
                            <a:tailEnd/>
                          </a:ln>
                          <a:effectLst/>
                        </wps:spPr>
                        <wps:bodyPr/>
                      </wps:wsp>
                      <wps:wsp>
                        <wps:cNvPr id="400" name="Line 126"/>
                        <wps:cNvCnPr/>
                        <wps:spPr bwMode="auto">
                          <a:xfrm>
                            <a:off x="396422" y="990559"/>
                            <a:ext cx="0" cy="634"/>
                          </a:xfrm>
                          <a:prstGeom prst="line">
                            <a:avLst/>
                          </a:prstGeom>
                          <a:noFill/>
                          <a:ln w="28575">
                            <a:solidFill>
                              <a:schemeClr val="tx1"/>
                            </a:solidFill>
                            <a:round/>
                            <a:headEnd/>
                            <a:tailEnd/>
                          </a:ln>
                          <a:effectLst/>
                        </wps:spPr>
                        <wps:bodyPr/>
                      </wps:wsp>
                      <wps:wsp>
                        <wps:cNvPr id="401" name="Line 127"/>
                        <wps:cNvCnPr/>
                        <wps:spPr bwMode="auto">
                          <a:xfrm>
                            <a:off x="396422" y="991193"/>
                            <a:ext cx="181" cy="0"/>
                          </a:xfrm>
                          <a:prstGeom prst="line">
                            <a:avLst/>
                          </a:prstGeom>
                          <a:noFill/>
                          <a:ln w="28575">
                            <a:solidFill>
                              <a:schemeClr val="tx1"/>
                            </a:solidFill>
                            <a:round/>
                            <a:headEnd/>
                            <a:tailEnd/>
                          </a:ln>
                          <a:effectLst/>
                        </wps:spPr>
                        <wps:bodyPr/>
                      </wps:wsp>
                      <wps:wsp>
                        <wps:cNvPr id="402" name="Line 128"/>
                        <wps:cNvCnPr/>
                        <wps:spPr bwMode="auto">
                          <a:xfrm>
                            <a:off x="396422" y="990967"/>
                            <a:ext cx="181" cy="0"/>
                          </a:xfrm>
                          <a:prstGeom prst="line">
                            <a:avLst/>
                          </a:prstGeom>
                          <a:noFill/>
                          <a:ln w="28575">
                            <a:solidFill>
                              <a:schemeClr val="tx1"/>
                            </a:solidFill>
                            <a:round/>
                            <a:headEnd/>
                            <a:tailEnd/>
                          </a:ln>
                          <a:effectLst/>
                        </wps:spPr>
                        <wps:bodyPr/>
                      </wps:wsp>
                      <wps:wsp>
                        <wps:cNvPr id="403" name="Line 129"/>
                        <wps:cNvCnPr/>
                        <wps:spPr bwMode="auto">
                          <a:xfrm>
                            <a:off x="396422" y="990740"/>
                            <a:ext cx="181" cy="0"/>
                          </a:xfrm>
                          <a:prstGeom prst="line">
                            <a:avLst/>
                          </a:prstGeom>
                          <a:noFill/>
                          <a:ln w="28575">
                            <a:solidFill>
                              <a:schemeClr val="tx1"/>
                            </a:solidFill>
                            <a:round/>
                            <a:headEnd/>
                            <a:tailEnd/>
                          </a:ln>
                          <a:effectLst/>
                        </wps:spPr>
                        <wps:bodyPr/>
                      </wps:wsp>
                      <wps:wsp>
                        <wps:cNvPr id="404" name="Line 130"/>
                        <wps:cNvCnPr/>
                        <wps:spPr bwMode="auto">
                          <a:xfrm>
                            <a:off x="396467" y="991420"/>
                            <a:ext cx="0" cy="408"/>
                          </a:xfrm>
                          <a:prstGeom prst="line">
                            <a:avLst/>
                          </a:prstGeom>
                          <a:noFill/>
                          <a:ln w="28575">
                            <a:solidFill>
                              <a:schemeClr val="tx1"/>
                            </a:solidFill>
                            <a:round/>
                            <a:headEnd/>
                            <a:tailEnd/>
                          </a:ln>
                          <a:effectLst/>
                        </wps:spPr>
                        <wps:bodyPr/>
                      </wps:wsp>
                      <wps:wsp>
                        <wps:cNvPr id="405" name="Line 131"/>
                        <wps:cNvCnPr/>
                        <wps:spPr bwMode="auto">
                          <a:xfrm>
                            <a:off x="396467" y="991828"/>
                            <a:ext cx="182" cy="0"/>
                          </a:xfrm>
                          <a:prstGeom prst="line">
                            <a:avLst/>
                          </a:prstGeom>
                          <a:noFill/>
                          <a:ln w="28575">
                            <a:solidFill>
                              <a:schemeClr val="tx1"/>
                            </a:solidFill>
                            <a:round/>
                            <a:headEnd/>
                            <a:tailEnd/>
                          </a:ln>
                          <a:effectLst/>
                        </wps:spPr>
                        <wps:bodyPr/>
                      </wps:wsp>
                      <wps:wsp>
                        <wps:cNvPr id="406" name="Line 132"/>
                        <wps:cNvCnPr/>
                        <wps:spPr bwMode="auto">
                          <a:xfrm>
                            <a:off x="396467" y="991602"/>
                            <a:ext cx="182" cy="0"/>
                          </a:xfrm>
                          <a:prstGeom prst="line">
                            <a:avLst/>
                          </a:prstGeom>
                          <a:noFill/>
                          <a:ln w="28575">
                            <a:solidFill>
                              <a:schemeClr val="tx1"/>
                            </a:solidFill>
                            <a:round/>
                            <a:headEnd/>
                            <a:tailEnd/>
                          </a:ln>
                          <a:effectLst/>
                        </wps:spPr>
                        <wps:bodyPr/>
                      </wps:wsp>
                      <wps:wsp>
                        <wps:cNvPr id="407" name="Line 133"/>
                        <wps:cNvCnPr/>
                        <wps:spPr bwMode="auto">
                          <a:xfrm>
                            <a:off x="396467" y="992101"/>
                            <a:ext cx="0" cy="362"/>
                          </a:xfrm>
                          <a:prstGeom prst="line">
                            <a:avLst/>
                          </a:prstGeom>
                          <a:noFill/>
                          <a:ln w="28575">
                            <a:solidFill>
                              <a:schemeClr val="tx1"/>
                            </a:solidFill>
                            <a:round/>
                            <a:headEnd/>
                            <a:tailEnd/>
                          </a:ln>
                          <a:effectLst/>
                        </wps:spPr>
                        <wps:bodyPr/>
                      </wps:wsp>
                      <wps:wsp>
                        <wps:cNvPr id="408" name="Line 134"/>
                        <wps:cNvCnPr/>
                        <wps:spPr bwMode="auto">
                          <a:xfrm>
                            <a:off x="396467" y="992463"/>
                            <a:ext cx="182" cy="0"/>
                          </a:xfrm>
                          <a:prstGeom prst="line">
                            <a:avLst/>
                          </a:prstGeom>
                          <a:noFill/>
                          <a:ln w="28575">
                            <a:solidFill>
                              <a:schemeClr val="tx1"/>
                            </a:solidFill>
                            <a:round/>
                            <a:headEnd/>
                            <a:tailEnd/>
                          </a:ln>
                          <a:effectLst/>
                        </wps:spPr>
                        <wps:bodyPr/>
                      </wps:wsp>
                      <wps:wsp>
                        <wps:cNvPr id="409" name="Line 135"/>
                        <wps:cNvCnPr/>
                        <wps:spPr bwMode="auto">
                          <a:xfrm>
                            <a:off x="396467" y="992237"/>
                            <a:ext cx="182" cy="0"/>
                          </a:xfrm>
                          <a:prstGeom prst="line">
                            <a:avLst/>
                          </a:prstGeom>
                          <a:noFill/>
                          <a:ln w="28575">
                            <a:solidFill>
                              <a:schemeClr val="tx1"/>
                            </a:solidFill>
                            <a:round/>
                            <a:headEnd/>
                            <a:tailEnd/>
                          </a:ln>
                          <a:effectLst/>
                        </wps:spPr>
                        <wps:bodyPr/>
                      </wps:wsp>
                      <wps:wsp>
                        <wps:cNvPr id="410" name="Line 136"/>
                        <wps:cNvCnPr/>
                        <wps:spPr bwMode="auto">
                          <a:xfrm>
                            <a:off x="396467" y="992736"/>
                            <a:ext cx="0" cy="362"/>
                          </a:xfrm>
                          <a:prstGeom prst="line">
                            <a:avLst/>
                          </a:prstGeom>
                          <a:noFill/>
                          <a:ln w="28575">
                            <a:solidFill>
                              <a:schemeClr val="tx1"/>
                            </a:solidFill>
                            <a:round/>
                            <a:headEnd/>
                            <a:tailEnd/>
                          </a:ln>
                          <a:effectLst/>
                        </wps:spPr>
                        <wps:bodyPr/>
                      </wps:wsp>
                      <wps:wsp>
                        <wps:cNvPr id="411" name="Line 137"/>
                        <wps:cNvCnPr/>
                        <wps:spPr bwMode="auto">
                          <a:xfrm>
                            <a:off x="396467" y="993098"/>
                            <a:ext cx="182" cy="0"/>
                          </a:xfrm>
                          <a:prstGeom prst="line">
                            <a:avLst/>
                          </a:prstGeom>
                          <a:noFill/>
                          <a:ln w="28575">
                            <a:solidFill>
                              <a:schemeClr val="tx1"/>
                            </a:solidFill>
                            <a:round/>
                            <a:headEnd/>
                            <a:tailEnd/>
                          </a:ln>
                          <a:effectLst/>
                        </wps:spPr>
                        <wps:bodyPr/>
                      </wps:wsp>
                      <wps:wsp>
                        <wps:cNvPr id="412" name="Line 138"/>
                        <wps:cNvCnPr/>
                        <wps:spPr bwMode="auto">
                          <a:xfrm>
                            <a:off x="396467" y="992826"/>
                            <a:ext cx="182" cy="0"/>
                          </a:xfrm>
                          <a:prstGeom prst="line">
                            <a:avLst/>
                          </a:prstGeom>
                          <a:noFill/>
                          <a:ln w="28575">
                            <a:solidFill>
                              <a:schemeClr val="tx1"/>
                            </a:solidFill>
                            <a:round/>
                            <a:headEnd/>
                            <a:tailEnd/>
                          </a:ln>
                          <a:effectLst/>
                        </wps:spPr>
                        <wps:bodyPr/>
                      </wps:wsp>
                      <wps:wsp>
                        <wps:cNvPr id="413" name="Line 139"/>
                        <wps:cNvCnPr/>
                        <wps:spPr bwMode="auto">
                          <a:xfrm flipH="1">
                            <a:off x="393247" y="992826"/>
                            <a:ext cx="952" cy="0"/>
                          </a:xfrm>
                          <a:prstGeom prst="line">
                            <a:avLst/>
                          </a:prstGeom>
                          <a:noFill/>
                          <a:ln w="28575">
                            <a:solidFill>
                              <a:schemeClr val="tx1"/>
                            </a:solidFill>
                            <a:round/>
                            <a:headEnd/>
                            <a:tailEnd/>
                          </a:ln>
                          <a:effectLst/>
                        </wps:spPr>
                        <wps:bodyPr/>
                      </wps:wsp>
                      <wps:wsp>
                        <wps:cNvPr id="414" name="Line 140"/>
                        <wps:cNvCnPr/>
                        <wps:spPr bwMode="auto">
                          <a:xfrm flipV="1">
                            <a:off x="393247" y="991012"/>
                            <a:ext cx="0" cy="1814"/>
                          </a:xfrm>
                          <a:prstGeom prst="line">
                            <a:avLst/>
                          </a:prstGeom>
                          <a:noFill/>
                          <a:ln w="28575">
                            <a:solidFill>
                              <a:schemeClr val="tx1"/>
                            </a:solidFill>
                            <a:round/>
                            <a:headEnd/>
                            <a:tailEnd/>
                          </a:ln>
                          <a:effectLst/>
                        </wps:spPr>
                        <wps:bodyPr/>
                      </wps:wsp>
                      <wps:wsp>
                        <wps:cNvPr id="415" name="Line 141"/>
                        <wps:cNvCnPr/>
                        <wps:spPr bwMode="auto">
                          <a:xfrm flipH="1">
                            <a:off x="393156" y="991012"/>
                            <a:ext cx="91" cy="0"/>
                          </a:xfrm>
                          <a:prstGeom prst="line">
                            <a:avLst/>
                          </a:prstGeom>
                          <a:noFill/>
                          <a:ln w="28575">
                            <a:solidFill>
                              <a:schemeClr val="tx1"/>
                            </a:solidFill>
                            <a:round/>
                            <a:headEnd/>
                            <a:tailEnd/>
                          </a:ln>
                          <a:effectLst/>
                        </wps:spPr>
                        <wps:bodyPr/>
                      </wps:wsp>
                      <wps:wsp>
                        <wps:cNvPr id="416" name="Line 142"/>
                        <wps:cNvCnPr/>
                        <wps:spPr bwMode="auto">
                          <a:xfrm>
                            <a:off x="394789" y="992962"/>
                            <a:ext cx="0" cy="136"/>
                          </a:xfrm>
                          <a:prstGeom prst="line">
                            <a:avLst/>
                          </a:prstGeom>
                          <a:noFill/>
                          <a:ln w="28575">
                            <a:solidFill>
                              <a:schemeClr val="tx1"/>
                            </a:solidFill>
                            <a:round/>
                            <a:headEnd/>
                            <a:tailEnd/>
                          </a:ln>
                          <a:effectLst/>
                        </wps:spPr>
                        <wps:bodyPr/>
                      </wps:wsp>
                      <wps:wsp>
                        <wps:cNvPr id="417" name="Line 143"/>
                        <wps:cNvCnPr/>
                        <wps:spPr bwMode="auto">
                          <a:xfrm flipH="1">
                            <a:off x="392113" y="993189"/>
                            <a:ext cx="2086" cy="0"/>
                          </a:xfrm>
                          <a:prstGeom prst="line">
                            <a:avLst/>
                          </a:prstGeom>
                          <a:noFill/>
                          <a:ln w="9525">
                            <a:solidFill>
                              <a:schemeClr val="tx1"/>
                            </a:solidFill>
                            <a:prstDash val="dash"/>
                            <a:round/>
                            <a:headEnd/>
                            <a:tailEnd/>
                          </a:ln>
                          <a:effectLst/>
                        </wps:spPr>
                        <wps:bodyPr/>
                      </wps:wsp>
                      <wps:wsp>
                        <wps:cNvPr id="418" name="Line 144"/>
                        <wps:cNvCnPr/>
                        <wps:spPr bwMode="auto">
                          <a:xfrm flipV="1">
                            <a:off x="392113" y="990195"/>
                            <a:ext cx="0" cy="2994"/>
                          </a:xfrm>
                          <a:prstGeom prst="line">
                            <a:avLst/>
                          </a:prstGeom>
                          <a:noFill/>
                          <a:ln w="9525">
                            <a:solidFill>
                              <a:schemeClr val="tx1"/>
                            </a:solidFill>
                            <a:prstDash val="dash"/>
                            <a:round/>
                            <a:headEnd/>
                            <a:tailEnd/>
                          </a:ln>
                          <a:effectLst/>
                        </wps:spPr>
                        <wps:bodyPr/>
                      </wps:wsp>
                      <wps:wsp>
                        <wps:cNvPr id="419" name="Line 145"/>
                        <wps:cNvCnPr/>
                        <wps:spPr bwMode="auto">
                          <a:xfrm>
                            <a:off x="392113" y="990195"/>
                            <a:ext cx="544" cy="0"/>
                          </a:xfrm>
                          <a:prstGeom prst="line">
                            <a:avLst/>
                          </a:prstGeom>
                          <a:noFill/>
                          <a:ln w="9525">
                            <a:solidFill>
                              <a:schemeClr val="tx1"/>
                            </a:solidFill>
                            <a:prstDash val="dash"/>
                            <a:round/>
                            <a:headEnd/>
                            <a:tailEnd/>
                          </a:ln>
                          <a:effectLst/>
                        </wps:spPr>
                        <wps:bodyPr/>
                      </wps:wsp>
                      <wps:wsp>
                        <wps:cNvPr id="420" name="Line 146"/>
                        <wps:cNvCnPr/>
                        <wps:spPr bwMode="auto">
                          <a:xfrm>
                            <a:off x="393519" y="990195"/>
                            <a:ext cx="272" cy="0"/>
                          </a:xfrm>
                          <a:prstGeom prst="line">
                            <a:avLst/>
                          </a:prstGeom>
                          <a:noFill/>
                          <a:ln w="9525">
                            <a:solidFill>
                              <a:schemeClr val="tx1"/>
                            </a:solidFill>
                            <a:prstDash val="dash"/>
                            <a:round/>
                            <a:headEnd/>
                            <a:tailEnd/>
                          </a:ln>
                          <a:effectLst/>
                        </wps:spPr>
                        <wps:bodyPr/>
                      </wps:wsp>
                      <wps:wsp>
                        <wps:cNvPr id="421" name="Line 147"/>
                        <wps:cNvCnPr/>
                        <wps:spPr bwMode="auto">
                          <a:xfrm>
                            <a:off x="394608" y="990195"/>
                            <a:ext cx="226" cy="0"/>
                          </a:xfrm>
                          <a:prstGeom prst="line">
                            <a:avLst/>
                          </a:prstGeom>
                          <a:noFill/>
                          <a:ln w="9525">
                            <a:solidFill>
                              <a:schemeClr val="tx1"/>
                            </a:solidFill>
                            <a:prstDash val="dash"/>
                            <a:round/>
                            <a:headEnd/>
                            <a:tailEnd/>
                          </a:ln>
                          <a:effectLst/>
                        </wps:spPr>
                        <wps:bodyPr/>
                      </wps:wsp>
                      <wps:wsp>
                        <wps:cNvPr id="422" name="Line 148"/>
                        <wps:cNvCnPr/>
                        <wps:spPr bwMode="auto">
                          <a:xfrm>
                            <a:off x="395651" y="990195"/>
                            <a:ext cx="91" cy="0"/>
                          </a:xfrm>
                          <a:prstGeom prst="line">
                            <a:avLst/>
                          </a:prstGeom>
                          <a:noFill/>
                          <a:ln w="9525">
                            <a:solidFill>
                              <a:schemeClr val="tx1"/>
                            </a:solidFill>
                            <a:prstDash val="dash"/>
                            <a:round/>
                            <a:headEnd/>
                            <a:tailEnd/>
                          </a:ln>
                          <a:effectLst/>
                        </wps:spPr>
                        <wps:bodyPr/>
                      </wps:wsp>
                      <wps:wsp>
                        <wps:cNvPr id="423" name="Line 149"/>
                        <wps:cNvCnPr/>
                        <wps:spPr bwMode="auto">
                          <a:xfrm>
                            <a:off x="396558" y="990195"/>
                            <a:ext cx="998" cy="0"/>
                          </a:xfrm>
                          <a:prstGeom prst="line">
                            <a:avLst/>
                          </a:prstGeom>
                          <a:noFill/>
                          <a:ln w="9525">
                            <a:solidFill>
                              <a:schemeClr val="tx1"/>
                            </a:solidFill>
                            <a:prstDash val="dash"/>
                            <a:round/>
                            <a:headEnd/>
                            <a:tailEnd/>
                          </a:ln>
                          <a:effectLst/>
                        </wps:spPr>
                        <wps:bodyPr/>
                      </wps:wsp>
                      <wps:wsp>
                        <wps:cNvPr id="424" name="Line 150"/>
                        <wps:cNvCnPr/>
                        <wps:spPr bwMode="auto">
                          <a:xfrm>
                            <a:off x="397556" y="990195"/>
                            <a:ext cx="0" cy="2994"/>
                          </a:xfrm>
                          <a:prstGeom prst="line">
                            <a:avLst/>
                          </a:prstGeom>
                          <a:noFill/>
                          <a:ln w="9525">
                            <a:solidFill>
                              <a:schemeClr val="tx1"/>
                            </a:solidFill>
                            <a:prstDash val="dash"/>
                            <a:round/>
                            <a:headEnd/>
                            <a:tailEnd/>
                          </a:ln>
                          <a:effectLst/>
                        </wps:spPr>
                        <wps:bodyPr/>
                      </wps:wsp>
                      <wps:wsp>
                        <wps:cNvPr id="425" name="Line 151"/>
                        <wps:cNvCnPr/>
                        <wps:spPr bwMode="auto">
                          <a:xfrm>
                            <a:off x="395469" y="993189"/>
                            <a:ext cx="2087" cy="0"/>
                          </a:xfrm>
                          <a:prstGeom prst="line">
                            <a:avLst/>
                          </a:prstGeom>
                          <a:noFill/>
                          <a:ln w="9525">
                            <a:solidFill>
                              <a:schemeClr val="tx1"/>
                            </a:solidFill>
                            <a:prstDash val="dash"/>
                            <a:round/>
                            <a:headEnd/>
                            <a:tailEnd/>
                          </a:ln>
                          <a:effectLst/>
                        </wps:spPr>
                        <wps:bodyPr/>
                      </wps:wsp>
                    </wpg:wgp>
                  </a:graphicData>
                </a:graphic>
              </wp:inline>
            </w:drawing>
          </mc:Choice>
          <mc:Fallback xmlns="">
            <w:pict>
              <v:group id="Group 153" o:spid="_x0000_s1344" style="width:441.9pt;height:303.75pt;mso-position-horizontal-relative:char;mso-position-vertical-relative:line" coordorigin="3921,9890" coordsize="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">
                <v:roundrect id="_s2057" o:spid="_x0000_s1345" style="position:absolute;left:3938;top:9901;width:8;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tW8MA&#10;AADcAAAADwAAAGRycy9kb3ducmV2LnhtbESP0WoCMRRE3wv9h3ALvtWsbrFlNUqrCC36ou0HXDfX&#10;zermJmyirn/fCIKPw8ycYSazzjbiTG2oHSsY9DMQxKXTNVcK/n6Xrx8gQkTW2DgmBVcKMJs+P02w&#10;0O7CGzpvYyUShEOBCkyMvpAylIYshr7zxMnbu9ZiTLKtpG7xkuC2kcMsG0mLNacFg57mhsrj9mQV&#10;vP948+V5zflVHvKqjCu5XuyU6r10n2MQkbr4CN/b31pBnr/B7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EtW8MAAADcAAAADwAAAAAAAAAAAAAAAACYAgAAZHJzL2Rv&#10;d25yZXYueG1sUEsFBgAAAAAEAAQA9QAAAIg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Subsecretaría de  Calidad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y Pertinencia</w:t>
                        </w:r>
                      </w:p>
                    </w:txbxContent>
                  </v:textbox>
                </v:roundrect>
                <v:roundrect id="_s2069" o:spid="_x0000_s1346" style="position:absolute;left:3948;top:9901;width:8;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IwMMA&#10;AADcAAAADwAAAGRycy9kb3ducmV2LnhtbESP0WoCMRRE3wv9h3ALvtWsLrVlNUqrCC36ou0HXDfX&#10;zermJmyirn/fCIKPw8ycYSazzjbiTG2oHSsY9DMQxKXTNVcK/n6Xrx8gQkTW2DgmBVcKMJs+P02w&#10;0O7CGzpvYyUShEOBCkyMvpAylIYshr7zxMnbu9ZiTLKtpG7xkuC2kcMsG0mLNacFg57mhsrj9mQV&#10;vP948+V5zflVHvKqjCu5XuyU6r10n2MQkbr4CN/b31pBnr/B7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2IwMMAAADcAAAADwAAAAAAAAAAAAAAAACYAgAAZHJzL2Rv&#10;d25yZXYueG1sUEsFBgAAAAAEAAQA9QAAAIg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Subsecretaría de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Acceso y Permanencia </w:t>
                        </w:r>
                      </w:p>
                    </w:txbxContent>
                  </v:textbox>
                </v:roundrect>
                <v:roundrect id="_s2071" o:spid="_x0000_s1347" style="position:absolute;left:3957;top:9901;width:8;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Wt8QA&#10;AADcAAAADwAAAGRycy9kb3ducmV2LnhtbESP3WoCMRSE74W+QziF3mm2XdCyGpf+UGjRm6oPcNwc&#10;N2s3J2GTruvbG0HwcpiZb5hFOdhW9NSFxrGC50kGgrhyuuFawW77NX4FESKyxtYxKThTgHL5MFpg&#10;od2Jf6nfxFokCIcCFZgYfSFlqAxZDBPniZN3cJ3FmGRXS93hKcFtK1+ybCotNpwWDHr6MFT9bf6t&#10;gtmPN++e15yf5TGvq7iS68+9Uk+Pw9scRKQh3sO39rdWkOdTuJ5JR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Frf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Subsecretaría de Gestión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Institucional </w:t>
                        </w:r>
                      </w:p>
                    </w:txbxContent>
                  </v:textbox>
                </v:roundrect>
                <v:roundrect id="_s2055" o:spid="_x0000_s1348" style="position:absolute;left:3926;top:9901;width:9;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zLMQA&#10;AADcAAAADwAAAGRycy9kb3ducmV2LnhtbESPzWrDMBCE74W+g9hCb43cGJLgRDFtSqElueTnATbW&#10;xnJqrYSlOs7bR4FCj8PMfMMsysG2oqcuNI4VvI4yEMSV0w3XCg77z5cZiBCRNbaOScGVApTLx4cF&#10;FtpdeEv9LtYiQTgUqMDE6AspQ2XIYhg5T5y8k+ssxiS7WuoOLwluWznOsom02HBaMOhpZaj62f1a&#10;BdNvb949bzi/ynNeV3EtNx9HpZ6fhrc5iEhD/A//tb+0gjyfwv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syz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Subsecretaría de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Integración Interinstitucional</w:t>
                        </w:r>
                      </w:p>
                    </w:txbxContent>
                  </v:textbox>
                </v:roundrect>
                <v:roundrect id="_s2292" o:spid="_x0000_s1349" style="position:absolute;left:3922;top:9906;width:8;height: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nXsEA&#10;AADcAAAADwAAAGRycy9kb3ducmV2LnhtbERP3WrCMBS+F3yHcAa703Qr6KimRTcGG/Nm3R7g2Byb&#10;anMSmkzr25uLgZcf3/+6Gm0vzjSEzrGCp3kGgrhxuuNWwe/P++wFRIjIGnvHpOBKAapyOlljod2F&#10;v+lcx1akEA4FKjAx+kLK0BiyGObOEyfu4AaLMcGhlXrASwq3vXzOsoW02HFqMOjp1VBzqv+sguWn&#10;N1vPO86v8pi3TfySu7e9Uo8P42YFItIY7+J/94dWkOdpbTqTjoAs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cJ17BAAAA3AAAAA8AAAAAAAAAAAAAAAAAmAIAAGRycy9kb3du&#10;cmV2LnhtbFBLBQYAAAAABAAEAPUAAACG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General de Educación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y Colegios Distritales</w:t>
                        </w:r>
                      </w:p>
                    </w:txbxContent>
                  </v:textbox>
                </v:roundrect>
                <v:roundrect id="_s2294" o:spid="_x0000_s1350" style="position:absolute;left:3942;top:9927;width:12;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CxcMA&#10;AADcAAAADwAAAGRycy9kb3ducmV2LnhtbESP0WoCMRRE3wv9h3ALvtWsLtR2NUqrCC36ou0HXDfX&#10;zermJmyirn/fCIKPw8ycYSazzjbiTG2oHSsY9DMQxKXTNVcK/n6Xr+8gQkTW2DgmBVcKMJs+P02w&#10;0O7CGzpvYyUShEOBCkyMvpAylIYshr7zxMnbu9ZiTLKtpG7xkuC2kcMse5MWa04LBj3NDZXH7ckq&#10;GP148+V5zflVHvKqjCu5XuyU6r10n2MQkbr4CN/b31pBnn/A7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CCxcMAAADcAAAADwAAAAAAAAAAAAAAAACYAgAAZHJzL2Rv&#10;d25yZXYueG1sUEsFBgAAAAAEAAQA9QAAAIg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Direcciones Locales de Educación </w:t>
                        </w:r>
                      </w:p>
                    </w:txbxContent>
                  </v:textbox>
                </v:roundrect>
                <v:roundrect id="_s2296" o:spid="_x0000_s1351" style="position:absolute;left:3922;top:9910;width:8;height: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YJcEA&#10;AADcAAAADwAAAGRycy9kb3ducmV2LnhtbERP3WrCMBS+H/gO4QjezdR1zNEZi9sYTOaNzgc4NmdN&#10;tTkJTaz17ZcLwcuP739RDrYVPXWhcaxgNs1AEFdON1wr2P9+Pb6CCBFZY+uYFFwpQLkcPSyw0O7C&#10;W+p3sRYphEOBCkyMvpAyVIYshqnzxIn7c53FmGBXS93hJYXbVj5l2Yu02HBqMOjpw1B12p2tgvna&#10;m3fPG86v8pjXVfyRm8+DUpPxsHoDEWmId/HN/a0V5M9pfj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CXBAAAA3AAAAA8AAAAAAAAAAAAAAAAAmAIAAGRycy9kb3du&#10;cmV2LnhtbFBLBQYAAAAABAAEAPUAAACG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Participación y Relaciones Interinstitucionales</w:t>
                        </w:r>
                      </w:p>
                    </w:txbxContent>
                  </v:textbox>
                </v:roundrect>
                <v:roundrect id="_s2298" o:spid="_x0000_s1352" style="position:absolute;left:3922;top:9914;width:8;height: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9vsQA&#10;AADcAAAADwAAAGRycy9kb3ducmV2LnhtbESP0WoCMRRE34X+Q7gF3zRrV2zZGkUrBUVfuu0H3G5u&#10;N9tubsIm1fXvjSD4OMzMGWa+7G0rjtSFxrGCyTgDQVw53XCt4OvzffQCIkRkja1jUnCmAMvFw2CO&#10;hXYn/qBjGWuRIBwKVGBi9IWUoTJkMYydJ07ej+ssxiS7WuoOTwluW/mUZTNpseG0YNDTm6Hqr/y3&#10;Cp533qw9Hzg/y9+8ruJeHjbfSg0f+9UriEh9vIdv7a1WkE8n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b7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Relaciones con el Sector Educativo Privado</w:t>
                        </w:r>
                      </w:p>
                    </w:txbxContent>
                  </v:textbox>
                </v:roundrect>
                <v:roundrect id="_s2300" o:spid="_x0000_s1353" style="position:absolute;left:3922;top:9918;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jycMA&#10;AADcAAAADwAAAGRycy9kb3ducmV2LnhtbESP3WoCMRSE74W+QzhC7zSrK62sRukPBaXeVH2A4+a4&#10;Wd2chE2q69ubQsHLYWa+YebLzjbiQm2oHSsYDTMQxKXTNVcK9ruvwRREiMgaG8ek4EYBloun3hwL&#10;7a78Q5dtrESCcChQgYnRF1KG0pDFMHSeOHlH11qMSbaV1C1eE9w2cpxlL9JizWnBoKcPQ+V5+2sV&#10;vK69efe84fwmT3lVxm+5+Two9dzv3mYgInXxEf5vr7SCfDKGv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JjycMAAADcAAAADwAAAAAAAAAAAAAAAACYAgAAZHJzL2Rv&#10;d25yZXYueG1sUEsFBgAAAAAEAAQA9QAAAIg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Inspección y Vigilancia</w:t>
                        </w:r>
                      </w:p>
                    </w:txbxContent>
                  </v:textbox>
                </v:roundrect>
                <v:group id="Group 39" o:spid="_x0000_s1354" style="position:absolute;left:3933;top:9906;width:8;height:20" coordorigin="3933,9906"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roundrect id="_s2302" o:spid="_x0000_s1355" style="position:absolute;left:3933;top:9906;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ND8QA&#10;AADcAAAADwAAAGRycy9kb3ducmV2LnhtbESP3WoCMRSE7wu+QziCdzVbLSrrZqU/FFr0xp8HOG5O&#10;N9tuTsIm6vr2TUHwcpiZb5hi1dtWnKkLjWMFT+MMBHHldMO1gsP+43EBIkRkja1jUnClAKty8FBg&#10;rt2Ft3TexVokCIccFZgYfS5lqAxZDGPniZP37TqLMcmulrrDS4LbVk6ybCYtNpwWDHp6M1T97k5W&#10;wfzLm1fPG55e5c+0ruJabt6PSo2G/csSRKQ+3sO39qdW8DyZwf+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8TQ/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Educación</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 Preescolar y Básica </w:t>
                          </w:r>
                        </w:p>
                      </w:txbxContent>
                    </v:textbox>
                  </v:roundrect>
                  <v:roundrect id="_s2306" o:spid="_x0000_s1356" style="position:absolute;left:3933;top:9909;width:8;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olMQA&#10;AADcAAAADwAAAGRycy9kb3ducmV2LnhtbESP0WoCMRRE3wv9h3ALvtVsVVRWs0tVCpb6UvUDrpvr&#10;ZtvNTdikuv59UxD6OMzMGWZZ9rYVF+pC41jByzADQVw53XCt4Hh4e56DCBFZY+uYFNwoQFk8Piwx&#10;1+7Kn3TZx1okCIccFZgYfS5lqAxZDEPniZN3dp3FmGRXS93hNcFtK0dZNpUWG04LBj2tDVXf+x+r&#10;YPbuzcrzjsc3+TWuq/ghd5uTUoOn/nUBIlIf/8P39lYrmIxm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w6JT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Educación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Media y Superior </w:t>
                          </w:r>
                        </w:p>
                      </w:txbxContent>
                    </v:textbox>
                  </v:roundrect>
                  <v:roundrect id="_s2308" o:spid="_x0000_s1357" style="position:absolute;left:3933;top:9911;width:8;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85sAA&#10;AADcAAAADwAAAGRycy9kb3ducmV2LnhtbERPy2oCMRTdF/yHcIXuasYHKqNRtKVQ0U3VD7hOrpPR&#10;yU2YpDr+vVkIXR7Oe75sbS1u1ITKsYJ+LwNBXDhdcangePj+mIIIEVlj7ZgUPCjActF5m2Ou3Z1/&#10;6baPpUghHHJUYGL0uZShMGQx9JwnTtzZNRZjgk0pdYP3FG5rOciysbRYcWow6OnTUHHd/1kFk403&#10;a887Hj7kZVgWcSt3Xyel3rvtagYiUhv/xS/3j1YwGqS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985sAAAADcAAAADwAAAAAAAAAAAAAAAACYAgAAZHJzL2Rvd25y&#10;ZXYueG1sUEsFBgAAAAAEAAQA9QAAAIU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Ciencias,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Tecnologías y Medios Educativos </w:t>
                          </w:r>
                        </w:p>
                      </w:txbxContent>
                    </v:textbox>
                  </v:roundrect>
                  <v:roundrect id="_s2310" o:spid="_x0000_s1358" style="position:absolute;left:3933;top:9913;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ZfcQA&#10;AADcAAAADwAAAGRycy9kb3ducmV2LnhtbESP3WoCMRSE74W+QzgF7zRbLVW3RmmVgqI3/jzA6eZ0&#10;s+3mJGyirm9vhIKXw8x8w0znra3FmZpQOVbw0s9AEBdOV1wqOB6+emMQISJrrB2TgisFmM+eOlPM&#10;tbvwjs77WIoE4ZCjAhOjz6UMhSGLoe88cfJ+XGMxJtmUUjd4SXBby0GWvUmLFacFg54Whoq//ckq&#10;GK29+fS85eFV/g7LIm7kdvmtVPe5/XgHEamNj/B/e6UVvA4m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2X3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Inclusión e Integración de Poblaciones </w:t>
                          </w:r>
                        </w:p>
                      </w:txbxContent>
                    </v:textbox>
                  </v:roundrect>
                  <v:roundrect id="_s2312" o:spid="_x0000_s1359" style="position:absolute;left:3933;top:9915;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mPcEA&#10;AADcAAAADwAAAGRycy9kb3ducmV2LnhtbERP3WrCMBS+H/gO4QjezdR1zNEZi9sYTOaNzgc4NmdN&#10;tTkJTaz17ZcLwcuP739RDrYVPXWhcaxgNs1AEFdON1wr2P9+Pb6CCBFZY+uYFFwpQLkcPSyw0O7C&#10;W+p3sRYphEOBCkyMvpAyVIYshqnzxIn7c53FmGBXS93hJYXbVj5l2Yu02HBqMOjpw1B12p2tgvna&#10;m3fPG86v8pjXVfyRm8+DUpPxsHoDEWmId/HN/a0VPOdpfj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A5j3BAAAA3AAAAA8AAAAAAAAAAAAAAAAAmAIAAGRycy9kb3du&#10;cmV2LnhtbFBLBQYAAAAABAAEAPUAAACG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Formación de Docentes e Innovaciones Pedagógicas.  </w:t>
                          </w:r>
                        </w:p>
                      </w:txbxContent>
                    </v:textbox>
                  </v:roundrect>
                  <v:roundrect id="_s2314" o:spid="_x0000_s1360" style="position:absolute;left:3933;top:9917;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DpsQA&#10;AADcAAAADwAAAGRycy9kb3ducmV2LnhtbESP0WoCMRRE34X+Q7gF3zRrV2zZGkUrBUVfuu0H3G5u&#10;N9tubsIm1fXvjSD4OMzMGWa+7G0rjtSFxrGCyTgDQVw53XCt4OvzffQCIkRkja1jUnCmAMvFw2CO&#10;hXYn/qBjGWuRIBwKVGBi9IWUoTJkMYydJ07ej+ssxiS7WuoOTwluW/mUZTNpseG0YNDTm6Hqr/y3&#10;Cp533qw9Hzg/y9+8ruJeHjbfSg0f+9UriEh9vIdv7a1WMM0n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Q6b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Evaluación de la Educación </w:t>
                          </w:r>
                        </w:p>
                      </w:txbxContent>
                    </v:textbox>
                  </v:roundrect>
                </v:group>
                <v:roundrect id="_s2320" o:spid="_x0000_s1361" style="position:absolute;left:3944;top:9906;width:8;height: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eJsQA&#10;AADcAAAADwAAAGRycy9kb3ducmV2LnhtbESP0WoCMRRE3wv9h3CFvtWsrtiyGqW2CBZ96bYfcLu5&#10;blY3N2GT6vr3jSD4OMzMGWa+7G0rTtSFxrGC0TADQVw53XCt4Od7/fwKIkRkja1jUnChAMvF48Mc&#10;C+3O/EWnMtYiQTgUqMDE6AspQ2XIYhg6T5y8vessxiS7WuoOzwluWznOsqm02HBaMOjp3VB1LP+s&#10;gpdPb1aed5xf5CGvq7iVu49fpZ4G/dsMRKQ+3sO39kYryCcTuJ5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Xib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Cobertura</w:t>
                        </w:r>
                      </w:p>
                    </w:txbxContent>
                  </v:textbox>
                </v:roundrect>
                <v:roundrect id="_s2322" o:spid="_x0000_s1362" style="position:absolute;left:3944;top:9911;width:8;height: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7vcQA&#10;AADcAAAADwAAAGRycy9kb3ducmV2LnhtbESP3WoCMRSE7wt9h3AKvatZu7bKahTbIlj0xp8HOG6O&#10;m9XNSdikur69KRR6OczMN8xk1tlGXKgNtWMF/V4Ggrh0uuZKwX63eBmBCBFZY+OYFNwowGz6+DDB&#10;Qrsrb+iyjZVIEA4FKjAx+kLKUBqyGHrOEyfv6FqLMcm2krrFa4LbRr5m2bu0WHNaMOjp01B53v5Y&#10;BcNvbz48rzm/yVNelXEl118HpZ6fuvkYRKQu/of/2kutIB+8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73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Bienestar Estudiantil </w:t>
                        </w:r>
                      </w:p>
                    </w:txbxContent>
                  </v:textbox>
                </v:roundrect>
                <v:roundrect id="_s2324" o:spid="_x0000_s1363" style="position:absolute;left:3944;top:9916;width:8;height: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lysQA&#10;AADcAAAADwAAAGRycy9kb3ducmV2LnhtbESP3WoCMRSE7wu+QzgF72q2rqhsjeIPhZZ6488DHDen&#10;m203J2ETdX17Uyh4OczMN8xs0dlGXKgNtWMFr4MMBHHpdM2VguPh/WUKIkRkjY1jUnCjAIt572mG&#10;hXZX3tFlHyuRIBwKVGBi9IWUoTRkMQycJ07et2stxiTbSuoWrwluGznMsrG0WHNaMOhpbaj83Z+t&#10;gsmnNyvPW85v8ievyvglt5uTUv3nbvkGIlIXH+H/9odWkI/G8Hc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Zcr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Construcción y</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 Conservación de Establecimientos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Educativos</w:t>
                        </w:r>
                      </w:p>
                    </w:txbxContent>
                  </v:textbox>
                </v:roundrect>
                <v:roundrect id="_s2326" o:spid="_x0000_s1364" style="position:absolute;left:3944;top:9920;width:8;height: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AUcQA&#10;AADcAAAADwAAAGRycy9kb3ducmV2LnhtbESP3WoCMRSE7wt9h3AK3tVsu8WV1ShtpVDRG38e4Lg5&#10;3Wy7OQmbVNe3N4Lg5TAz3zDTeW9bcaQuNI4VvAwzEMSV0w3XCva7r+cxiBCRNbaOScGZAsxnjw9T&#10;LLU78YaO21iLBOFQogIToy+lDJUhi2HoPHHyflxnMSbZ1VJ3eEpw28rXLBtJiw2nBYOePg1Vf9t/&#10;q6BYevPhec35Wf7mdRVXcr04KDV46t8nICL18R6+tb+1gvytgOuZdAT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wFH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Dirección de Dotaciones</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 Escolares </w:t>
                        </w:r>
                      </w:p>
                    </w:txbxContent>
                  </v:textbox>
                </v:roundrect>
                <v:roundrect id="_s2328" o:spid="_x0000_s1365" style="position:absolute;left:3960;top:9904;width:9;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UI8EA&#10;AADcAAAADwAAAGRycy9kb3ducmV2LnhtbERP3WrCMBS+H/gO4QjezdR1zNEZi9sYTOaNzgc4NmdN&#10;tTkJTaz17ZcLwcuP739RDrYVPXWhcaxgNs1AEFdON1wr2P9+Pb6CCBFZY+uYFFwpQLkcPSyw0O7C&#10;W+p3sRYphEOBCkyMvpAyVIYshqnzxIn7c53FmGBXS93hJYXbVj5l2Yu02HBqMOjpw1B12p2tgvna&#10;m3fPG86v8pjXVfyRm8+DUpPxsHoDEWmId/HN/a0V5M9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aVCPBAAAA3AAAAA8AAAAAAAAAAAAAAAAAmAIAAGRycy9kb3du&#10;cmV2LnhtbFBLBQYAAAAABAAEAPUAAACG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Talento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Humano </w:t>
                        </w:r>
                      </w:p>
                    </w:txbxContent>
                  </v:textbox>
                </v:roundrect>
                <v:roundrect id="_s2330" o:spid="_x0000_s1366" style="position:absolute;left:3960;top:9912;width:9;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xuMQA&#10;AADcAAAADwAAAGRycy9kb3ducmV2LnhtbESP3WoCMRSE7wt9h3AKvatZu9LqahTbIlj0xp8HOG6O&#10;m9XNSdikur69KRR6OczMN8xk1tlGXKgNtWMF/V4Ggrh0uuZKwX63eBmCCBFZY+OYFNwowGz6+DDB&#10;Qrsrb+iyjZVIEA4FKjAx+kLKUBqyGHrOEyfv6FqLMcm2krrFa4LbRr5m2Zu0WHNaMOjp01B53v5Y&#10;Be/f3nx4XnN+k6e8KuNKrr8OSj0/dfMxiEhd/A//tZdaQT4Y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8bj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Contratación </w:t>
                        </w:r>
                      </w:p>
                    </w:txbxContent>
                  </v:textbox>
                </v:roundrect>
                <v:roundrect id="_s2332" o:spid="_x0000_s1367" style="position:absolute;left:3960;top:9919;width:9;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MEA&#10;AADcAAAADwAAAGRycy9kb3ducmV2LnhtbERP3WrCMBS+H/gO4QjezdSVzdEZi9sYTOaNzgc4NmdN&#10;tTkJTaz17ZcLwcuP739RDrYVPXWhcaxgNs1AEFdON1wr2P9+Pb6CCBFZY+uYFFwpQLkcPSyw0O7C&#10;W+p3sRYphEOBCkyMvpAyVIYshqnzxIn7c53FmGBXS93hJYXbVj5l2Yu02HBqMOjpw1B12p2tgvna&#10;m3fPG86v8pjXVfyRm8+DUpPxsHoDEWmId/HN/a0V5M9pfj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zvjBAAAA3AAAAA8AAAAAAAAAAAAAAAAAmAIAAGRycy9kb3du&#10;cmV2LnhtbFBLBQYAAAAABAAEAPUAAACG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de Servicios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Administrativos </w:t>
                        </w:r>
                      </w:p>
                    </w:txbxContent>
                  </v:textbox>
                </v:roundrect>
                <v:roundrect id="_s2334" o:spid="_x0000_s1368" style="position:absolute;left:3961;top:9925;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rY8QA&#10;AADcAAAADwAAAGRycy9kb3ducmV2LnhtbESP0WoCMRRE34X+Q7gF3zRrF23ZGkUrBUVfuu0H3G5u&#10;N9tubsIm1fXvjSD4OMzMGWa+7G0rjtSFxrGCyTgDQVw53XCt4OvzffQCIkRkja1jUnCmAMvFw2CO&#10;hXYn/qBjGWuRIBwKVGBi9IWUoTJkMYydJ07ej+ssxiS7WuoOTwluW/mUZTNpseG0YNDTm6Hqr/y3&#10;Cp533qw9Hzg/y9+8ruJeHjbfSg0f+9UriEh9vIdv7a1WkE8n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5a2P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Dirección Financiera </w:t>
                        </w:r>
                      </w:p>
                    </w:txbxContent>
                  </v:textbox>
                </v:roundrect>
                <v:roundrect id="_s2336" o:spid="_x0000_s1369" style="position:absolute;left:3966;top:9906;width:8;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1FMMA&#10;AADcAAAADwAAAGRycy9kb3ducmV2LnhtbESP3WoCMRSE74W+QzhC7zSri62sRukPBaXeVH2A4+a4&#10;Wd2chE2q69ubQsHLYWa+YebLzjbiQm2oHSsYDTMQxKXTNVcK9ruvwRREiMgaG8ek4EYBloun3hwL&#10;7a78Q5dtrESCcChQgYnRF1KG0pDFMHSeOHlH11qMSbaV1C1eE9w2cpxlL9JizWnBoKcPQ+V5+2sV&#10;vK69efe84fwmT3lVxm+5+Two9dzv3mYgInXxEf5vr7SCfDKGv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1FMMAAADcAAAADwAAAAAAAAAAAAAAAACYAgAAZHJzL2Rv&#10;d25yZXYueG1sUEsFBgAAAAAEAAQA9QAAAIg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Personal </w:t>
                        </w:r>
                      </w:p>
                    </w:txbxContent>
                  </v:textbox>
                </v:roundrect>
                <v:roundrect id="_s2338" o:spid="_x0000_s1370" style="position:absolute;left:3966;top:9908;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Qj8MA&#10;AADcAAAADwAAAGRycy9kb3ducmV2LnhtbESP0WoCMRRE3wv9h3ALvtWsLrVlNUqrCC36ou0HXDfX&#10;zermJmyirn/fCIKPw8ycYSazzjbiTG2oHSsY9DMQxKXTNVcK/n6Xrx8gQkTW2DgmBVcKMJs+P02w&#10;0O7CGzpvYyUShEOBCkyMvpAylIYshr7zxMnbu9ZiTLKtpG7xkuC2kcMsG0mLNacFg57mhsrj9mQV&#10;vP948+V5zflVHvKqjCu5XuyU6r10n2MQkbr4CN/b31pB/pbD7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Qj8MAAADcAAAADwAAAAAAAAAAAAAAAACYAgAAZHJzL2Rv&#10;d25yZXYueG1sUEsFBgAAAAAEAAQA9QAAAIg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Escalafón Docente </w:t>
                        </w:r>
                      </w:p>
                    </w:txbxContent>
                  </v:textbox>
                </v:roundrect>
                <v:roundrect id="_s2340" o:spid="_x0000_s1371" style="position:absolute;left:3966;top:9915;width:9;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I+8QA&#10;AADcAAAADwAAAGRycy9kb3ducmV2LnhtbESP3WoCMRSE7wt9h3AKvatZu7bKahTbIlj0xp8HOG6O&#10;m9XNSdikur69KRR6OczMN8xk1tlGXKgNtWMF/V4Ggrh0uuZKwX63eBmBCBFZY+OYFNwowGz6+DDB&#10;Qrsrb+iyjZVIEA4FKjAx+kLKUBqyGHrOEyfv6FqLMcm2krrFa4LbRr5m2bu0WHNaMOjp01B53v5Y&#10;BcNvbz48rzm/yVNelXEl118HpZ6fuvkYRKQu/of/2kutIH8bwO+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yPv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Apoyo Precontractual</w:t>
                        </w:r>
                      </w:p>
                    </w:txbxContent>
                  </v:textbox>
                </v:roundrect>
                <v:roundrect id="_s2342" o:spid="_x0000_s1372" style="position:absolute;left:3966;top:9917;width:9;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tYMQA&#10;AADcAAAADwAAAGRycy9kb3ducmV2LnhtbESP0WoCMRRE3wv9h3CFvtWsLtqyGqW2CBZ96bYfcLu5&#10;blY3N2GT6vr3jSD4OMzMGWa+7G0rTtSFxrGC0TADQVw53XCt4Od7/fwKIkRkja1jUnChAMvF48Mc&#10;C+3O/EWnMtYiQTgUqMDE6AspQ2XIYhg6T5y8vessxiS7WuoOzwluWznOsqm02HBaMOjp3VB1LP+s&#10;gpdPb1aed5xf5CGvq7iVu49fpZ4G/dsMRKQ+3sO39kYryCcTuJ5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bWD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Contratos</w:t>
                        </w:r>
                      </w:p>
                    </w:txbxContent>
                  </v:textbox>
                </v:roundrect>
                <v:roundrect id="_s2344" o:spid="_x0000_s1373" style="position:absolute;left:3966;top:9921;width:9;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zF8QA&#10;AADcAAAADwAAAGRycy9kb3ducmV2LnhtbESPW2sCMRSE3wv+h3AKvtVsXbywNYoXCi31xcsPOG5O&#10;N9tuTsIm6vrvTaHg4zAz3zCzRWcbcaE21I4VvA4yEMSl0zVXCo6H95cpiBCRNTaOScGNAizmvacZ&#10;FtpdeUeXfaxEgnAoUIGJ0RdShtKQxTBwnjh53661GJNsK6lbvCa4beQwy8bSYs1pwaCntaHyd3+2&#10;Ciaf3qw8bzm/yZ+8KuOX3G5OSvWfu+UbiEhdfIT/2x9aQT4aw9+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8xf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Servicio al Ciudadano </w:t>
                        </w:r>
                      </w:p>
                    </w:txbxContent>
                  </v:textbox>
                </v:roundrect>
                <v:roundrect id="_s2348" o:spid="_x0000_s1374" style="position:absolute;left:3966;top:9927;width:9;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WjMQA&#10;AADcAAAADwAAAGRycy9kb3ducmV2LnhtbESP3WoCMRSE7wt9h3AK3tVsu9SV1ShtpVDRG38e4Lg5&#10;3Wy7OQmbVNe3N4Lg5TAz3zDTeW9bcaQuNI4VvAwzEMSV0w3XCva7r+cxiBCRNbaOScGZAsxnjw9T&#10;LLU78YaO21iLBOFQogIToy+lDJUhi2HoPHHyflxnMSbZ1VJ3eEpw28rXLBtJiw2nBYOePg1Vf9t/&#10;q6BYevPhec35Wf7mdRVXcr04KDV46t8nICL18R6+tb+1gvytgOuZdAT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Voz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Presupuesto</w:t>
                        </w:r>
                      </w:p>
                    </w:txbxContent>
                  </v:textbox>
                </v:roundrect>
                <v:roundrect id="_s2350" o:spid="_x0000_s1375" style="position:absolute;left:3966;top:9929;width:9;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C/sEA&#10;AADcAAAADwAAAGRycy9kb3ducmV2LnhtbERP3WrCMBS+H/gO4QjezdSVzdEZi9sYTOaNzgc4NmdN&#10;tTkJTaz17ZcLwcuP739RDrYVPXWhcaxgNs1AEFdON1wr2P9+Pb6CCBFZY+uYFFwpQLkcPSyw0O7C&#10;W+p3sRYphEOBCkyMvpAyVIYshqnzxIn7c53FmGBXS93hJYXbVj5l2Yu02HBqMOjpw1B12p2tgvna&#10;m3fPG86v8pjXVfyRm8+DUpPxsHoDEWmId/HN/a0V5M9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Dwv7BAAAA3AAAAA8AAAAAAAAAAAAAAAAAmAIAAGRycy9kb3du&#10;cmV2LnhtbFBLBQYAAAAABAAEAPUAAACG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Tesorería y Contabilidad</w:t>
                        </w:r>
                      </w:p>
                    </w:txbxContent>
                  </v:textbox>
                </v:roundrect>
                <v:roundrect id="_s2352" o:spid="_x0000_s1376" style="position:absolute;left:3966;top:9923;width:9;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9nZcQA&#10;AADcAAAADwAAAGRycy9kb3ducmV2LnhtbESP3WoCMRSE7wt9h3AKvatZu9jqahTbIlj0xp8HOG6O&#10;m9XNSdikur69KRR6OczMN8xk1tlGXKgNtWMF/V4Ggrh0uuZKwX63eBmCCBFZY+OYFNwowGz6+DDB&#10;Qrsrb+iyjZVIEA4FKjAx+kLKUBqyGHrOEyfv6FqLMcm2krrFa4LbRr5m2Zu0WHNaMOjp01B53v5Y&#10;Be/f3nx4XnN+k6e8KuNKrr8OSj0/dfMxiEhd/A//tZdaQT4Yw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Z2X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Administrativa de REDP </w:t>
                        </w:r>
                      </w:p>
                    </w:txbxContent>
                  </v:textbox>
                </v:roundrect>
                <v:roundrect id="_s2354" o:spid="_x0000_s1377" style="position:absolute;left:3966;top:9911;width:8;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ERcAA&#10;AADcAAAADwAAAGRycy9kb3ducmV2LnhtbERP3WrCMBS+H+wdwhl4N1NXUKlGcRuCojfWPcBZc2y6&#10;NSehiVrf3lwIXn58//Nlb1txoS40jhWMhhkI4srphmsFP8f1+xREiMgaW8ek4EYBlovXlzkW2l35&#10;QJcy1iKFcChQgYnRF1KGypDFMHSeOHEn11mMCXa11B1eU7ht5UeWjaXFhlODQU9fhqr/8mwVTLbe&#10;fHrec36Tf3ldxZ3cf/8qNXjrVzMQkfr4FD/cG60gH6f56Uw6An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kERcAAAADcAAAADwAAAAAAAAAAAAAAAACYAgAAZHJzL2Rvd25y&#10;ZXYueG1sUEsFBgAAAAAEAAQA9QAAAIU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de Nómina</w:t>
                        </w:r>
                      </w:p>
                    </w:txbxContent>
                  </v:textbox>
                </v:roundrect>
                <v:roundrect id="_s2054" o:spid="_x0000_s1378" style="position:absolute;left:3941;top:9890;width:13;height: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h3sMA&#10;AADcAAAADwAAAGRycy9kb3ducmV2LnhtbESP0WoCMRRE3wv9h3ALvmlWF7SsRmkVoUVftH7AdXPd&#10;bLu5CZuo698bQejjMDNnmNmis424UBtqxwqGgwwEcel0zZWCw8+6/w4iRGSNjWNScKMAi/nrywwL&#10;7a68o8s+ViJBOBSowMToCylDachiGDhPnLyTay3GJNtK6havCW4bOcqysbRYc1ow6GlpqPzbn62C&#10;ybc3n563nN/kb16VcSO3q6NSvbfuYwoiUhf/w8/2l1aQj4fwOJ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Wh3sMAAADcAAAADwAAAAAAAAAAAAAAAACYAgAAZHJzL2Rv&#10;d25yZXYueG1sUEsFBgAAAAAEAAQA9QAAAIg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b/>
                            <w:bCs/>
                            <w:color w:val="000000" w:themeColor="text1"/>
                            <w:kern w:val="24"/>
                            <w:lang w:val="es-CO"/>
                          </w:rPr>
                          <w:t>Despacho del Secretario</w:t>
                        </w:r>
                      </w:p>
                    </w:txbxContent>
                  </v:textbox>
                </v:roundrect>
                <v:roundrect id="_s2061" o:spid="_x0000_s1379" style="position:absolute;left:3936;top:9895;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qcQA&#10;AADcAAAADwAAAGRycy9kb3ducmV2LnhtbESP3WoCMRSE74W+QzgF7zRbF1S2xqU/CC16o/YBTjen&#10;m203J2GTruvbG0HwcpiZb5hVOdhW9NSFxrGCp2kGgrhyuuFawddxM1mCCBFZY+uYFJwpQLl+GK2w&#10;0O7Ee+oPsRYJwqFABSZGX0gZKkMWw9R54uT9uM5iTLKrpe7wlOC2lbMsm0uLDacFg57eDFV/h3+r&#10;YPHpzavnHedn+ZvXVdzK3fu3UuPH4eUZRKQh3sO39odWkM9ncD2Tj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P6n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Asesora Jurídica </w:t>
                        </w:r>
                      </w:p>
                    </w:txbxContent>
                  </v:textbox>
                </v:roundrect>
                <v:roundrect id="_s2063" o:spid="_x0000_s1380" style="position:absolute;left:3951;top:9895;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aMsQA&#10;AADcAAAADwAAAGRycy9kb3ducmV2LnhtbESP3WoCMRSE74W+QziF3mm2XdCyGpf+UGjRm6oPcNwc&#10;N2s3J2GTruvbG0HwcpiZb5hFOdhW9NSFxrGC50kGgrhyuuFawW77NX4FESKyxtYxKThTgHL5MFpg&#10;od2Jf6nfxFokCIcCFZgYfSFlqAxZDBPniZN3cJ3FmGRXS93hKcFtK1+ybCotNpwWDHr6MFT9bf6t&#10;gtmPN++e15yf5TGvq7iS68+9Uk+Pw9scRKQh3sO39rdWkE9zuJ5JR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mjL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Control Disciplinario </w:t>
                        </w:r>
                      </w:p>
                    </w:txbxContent>
                  </v:textbox>
                </v:roundrect>
                <v:roundrect id="_s2065" o:spid="_x0000_s1381" style="position:absolute;left:3936;top:9892;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CRsQA&#10;AADcAAAADwAAAGRycy9kb3ducmV2LnhtbESP3WoCMRSE7wu+QzgF72q2rqhsjeIPhZZ6488DHDen&#10;m203J2ETdX17Uyh4OczMN8xs0dlGXKgNtWMFr4MMBHHpdM2VguPh/WUKIkRkjY1jUnCjAIt572mG&#10;hXZX3tFlHyuRIBwKVGBi9IWUoTRkMQycJ07et2stxiTbSuoWrwluGznMsrG0WHNaMOhpbaj83Z+t&#10;gsmnNyvPW85v8ievyvglt5uTUv3nbvkGIlIXH+H/9odWkI9H8Hc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Akb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Asesora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de Planeación </w:t>
                        </w:r>
                      </w:p>
                    </w:txbxContent>
                  </v:textbox>
                </v:roundrect>
                <v:roundrect id="_s2067" o:spid="_x0000_s1382" style="position:absolute;left:3951;top:9892;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n3cQA&#10;AADcAAAADwAAAGRycy9kb3ducmV2LnhtbESPW2sCMRSE3wv+h3AKvtVsXbywNYoXCi31xcsPOG5O&#10;N9tuTsIm6vrvTaHg4zAz3zCzRWcbcaE21I4VvA4yEMSl0zVXCo6H95cpiBCRNTaOScGNAizmvacZ&#10;FtpdeUeXfaxEgnAoUIGJ0RdShtKQxTBwnjh53661GJNsK6lbvCa4beQwy8bSYs1pwaCntaHyd3+2&#10;Ciaf3qw8bzm/yZ+8KuOX3G5OSvWfu+UbiEhdfIT/2x9aQT4ewd+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p93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Oficina de Control </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 Interno</w:t>
                        </w:r>
                      </w:p>
                    </w:txbxContent>
                  </v:textbox>
                </v:roundrect>
                <v:roundrect id="_s2288" o:spid="_x0000_s1383" style="position:absolute;left:3936;top:9897;width:8;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5qsQA&#10;AADcAAAADwAAAGRycy9kb3ducmV2LnhtbESPUWvCMBSF34X9h3AHvs10K3SjM4qbCIq+rNsPuGvu&#10;ms7mJjRR6783guDj4ZzzHc50PthOHKkPrWMFz5MMBHHtdMuNgp/v1dMbiBCRNXaOScGZAsxnD6Mp&#10;ltqd+IuOVWxEgnAoUYGJ0ZdShtqQxTBxnjh5f663GJPsG6l7PCW47eRLlhXSYstpwaCnT0P1vjpY&#10;Ba8bbz487zg/y/+8qeNW7pa/So0fh8U7iEhDvIdv7bVWkBcFXM+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8OarEAAAA3AAAAA8AAAAAAAAAAAAAAAAAmAIAAGRycy9k&#10;b3ducmV2LnhtbFBLBQYAAAAABAAEAPUAAACJAw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Oficina Asesora de</w:t>
                        </w:r>
                      </w:p>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Comunicación y Prensa </w:t>
                        </w:r>
                      </w:p>
                    </w:txbxContent>
                  </v:textbox>
                </v:roundrect>
                <v:roundrect id="_s2294" o:spid="_x0000_s1384" style="position:absolute;left:3942;top:9930;width:12;height: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cMcMA&#10;AADcAAAADwAAAGRycy9kb3ducmV2LnhtbESP0WoCMRRE34X+Q7gF3zRbF1S2RmkrgqIvaj/gdnO7&#10;2XZzEzZR1783guDjMDNnmNmis404UxtqxwrehhkI4tLpmisF38fVYAoiRGSNjWNScKUAi/lLb4aF&#10;dhfe0/kQK5EgHApUYGL0hZShNGQxDJ0nTt6vay3GJNtK6hYvCW4bOcqysbRYc1ow6OnLUPl/OFkF&#10;k403n553nF/lX16VcSt3yx+l+q/dxzuISF18hh/ttVaQjyd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CcMcMAAADcAAAADwAAAAAAAAAAAAAAAACYAgAAZHJzL2Rv&#10;d25yZXYueG1sUEsFBgAAAAAEAAQA9QAAAIgDAAAAAA==&#10;" fillcolor="white [3212]" strokecolor="black [3213]">
                  <v:textbox inset="0,0,0,0">
                    <w:txbxContent>
                      <w:p w:rsidR="00631C6A" w:rsidRDefault="00631C6A" w:rsidP="00631C6A">
                        <w:pPr>
                          <w:pStyle w:val="NormalWeb"/>
                          <w:spacing w:before="0" w:beforeAutospacing="0" w:after="0" w:afterAutospacing="0"/>
                          <w:jc w:val="center"/>
                          <w:textAlignment w:val="baseline"/>
                        </w:pPr>
                        <w:r>
                          <w:rPr>
                            <w:rFonts w:ascii="Arial" w:hAnsi="Arial" w:cstheme="minorBidi"/>
                            <w:color w:val="000000" w:themeColor="text1"/>
                            <w:kern w:val="24"/>
                            <w:sz w:val="14"/>
                            <w:szCs w:val="14"/>
                            <w:lang w:val="es-CO"/>
                          </w:rPr>
                          <w:t xml:space="preserve">COLEGIOS DISTRITALES </w:t>
                        </w:r>
                      </w:p>
                    </w:txbxContent>
                  </v:textbox>
                </v:roundrect>
                <v:line id="Line 88" o:spid="_x0000_s1385" style="position:absolute;visibility:visible;mso-wrap-style:square;v-text-anchor:top" from="3935,9903" to="3935,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Q874A&#10;AADcAAAADwAAAGRycy9kb3ducmV2LnhtbERPzYrCMBC+L/gOYQRva6ouVapRRBS6x1UfYGjGtNhM&#10;ahM1vr05CHv8+P5Xm2hb8aDeN44VTMYZCOLK6YaNgvPp8L0A4QOyxtYxKXiRh8168LXCQrsn/9Hj&#10;GIxIIewLVFCH0BVS+qomi37sOuLEXVxvMSTYG6l7fKZw28ppluXSYsOpocaOdjVV1+PdKshNWd4m&#10;22Z+OfzMDJ5u0e1/o1KjYdwuQQSK4V/8cZdawSxPa9OZd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18EPO+AAAA3AAAAA8AAAAAAAAAAAAAAAAAmAIAAGRycy9kb3ducmV2&#10;LnhtbFBLBQYAAAAABAAEAPUAAACDAwAAAAA=&#10;" strokecolor="black [3213]">
                  <v:stroke dashstyle="1 1"/>
                  <v:textbox>
                    <w:txbxContent>
                      <w:p w:rsidR="00631C6A" w:rsidRDefault="00631C6A" w:rsidP="00631C6A">
                        <w:pPr>
                          <w:rPr>
                            <w:rFonts w:eastAsia="Times New Roman"/>
                          </w:rPr>
                        </w:pPr>
                      </w:p>
                    </w:txbxContent>
                  </v:textbox>
                </v:line>
                <v:line id="Line 94" o:spid="_x0000_s1386" style="position:absolute;visibility:visible;mso-wrap-style:square;v-text-anchor:top" from="3930,9900" to="396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PycMA&#10;AADcAAAADwAAAGRycy9kb3ducmV2LnhtbESPQYvCMBSE78L+h/AEb5qqILYaRRaFPbrVw+7t0Tzb&#10;YvNSkmyt/vqNIHgcZuYbZr3tTSM6cr62rGA6SUAQF1bXXCo4nw7jJQgfkDU2lknBnTxsNx+DNWba&#10;3vibujyUIkLYZ6igCqHNpPRFRQb9xLbE0btYZzBE6UqpHd4i3DRyliQLabDmuFBhS58VFdf8zyio&#10;01++8HHalT+nw1674yO/dw+lRsN+twIRqA/v8Kv9pRXMFy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iPycMAAADcAAAADwAAAAAAAAAAAAAAAACYAgAAZHJzL2Rv&#10;d25yZXYueG1sUEsFBgAAAAAEAAQA9QAAAIgDAAAAAA==&#10;" strokecolor="black [3213]" strokeweight="2.25pt">
                  <v:textbox>
                    <w:txbxContent>
                      <w:p w:rsidR="00631C6A" w:rsidRDefault="00631C6A" w:rsidP="00631C6A">
                        <w:pPr>
                          <w:rPr>
                            <w:rFonts w:eastAsia="Times New Roman"/>
                          </w:rPr>
                        </w:pPr>
                      </w:p>
                    </w:txbxContent>
                  </v:textbox>
                </v:line>
                <v:line id="Line 95" o:spid="_x0000_s1387" style="position:absolute;visibility:visible;mso-wrap-style:square;v-text-anchor:top" from="3947,9891" to="3947,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wicAA&#10;AADcAAAADwAAAGRycy9kb3ducmV2LnhtbERPy4rCMBTdD/gP4QruxtQRfFSjiCi4dKoL3V2aa1ts&#10;bkqSqdWvN4sBl4fzXq47U4uWnK8sKxgNExDEudUVFwrOp/33DIQPyBpry6TgSR7Wq97XElNtH/xL&#10;bRYKEUPYp6igDKFJpfR5SQb90DbEkbtZZzBE6AqpHT5iuKnlT5JMpMGKY0OJDW1Lyu/Zn1FQza98&#10;4+OoLS6n/U674yt7ti+lBv1uswARqAsf8b/7oBWMp3F+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uwicAAAADcAAAADwAAAAAAAAAAAAAAAACYAgAAZHJzL2Rvd25y&#10;ZXYueG1sUEsFBgAAAAAEAAQA9QAAAIUDAAAAAA==&#10;" strokecolor="black [3213]" strokeweight="2.25pt">
                  <v:textbox>
                    <w:txbxContent>
                      <w:p w:rsidR="00631C6A" w:rsidRDefault="00631C6A" w:rsidP="00631C6A">
                        <w:pPr>
                          <w:rPr>
                            <w:rFonts w:eastAsia="Times New Roman"/>
                          </w:rPr>
                        </w:pPr>
                      </w:p>
                    </w:txbxContent>
                  </v:textbox>
                </v:line>
                <v:line id="Line 96" o:spid="_x0000_s1388" style="position:absolute;visibility:visible;mso-wrap-style:square;v-text-anchor:top" from="3944,9893" to="3951,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VEsQA&#10;AADcAAAADwAAAGRycy9kb3ducmV2LnhtbESPQWvCQBSE74L/YXmCN92kQmvTbERKhR41emhvj+wz&#10;CWbfht1tjP76bkHocZiZb5h8M5pODOR8a1lBukxAEFdWt1wrOB13izUIH5A1dpZJwY08bIrpJMdM&#10;2ysfaChDLSKEfYYKmhD6TEpfNWTQL21PHL2zdQZDlK6W2uE1wk0nn5LkWRpsOS402NN7Q9Wl/DEK&#10;2tdvPvM+Heqv4+5Du/29vA13peazcfsGItAY/sOP9qdWsHpJ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FRL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97" o:spid="_x0000_s1389" style="position:absolute;visibility:visible;mso-wrap-style:square;v-text-anchor:top" from="3944,9896" to="3951,9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LZcUA&#10;AADcAAAADwAAAGRycy9kb3ducmV2LnhtbESPQWvCQBSE74X+h+UVvNVNFFpN3YhIhR5t9KC3R/aZ&#10;hGbfht1tTPLru4VCj8PMfMNstoNpRU/ON5YVpPMEBHFpdcOVgvPp8LwC4QOyxtYyKRjJwzZ/fNhg&#10;pu2dP6kvQiUihH2GCuoQukxKX9Zk0M9tRxy9m3UGQ5SuktrhPcJNKxdJ8iINNhwXauxoX1P5VXwb&#10;Bc36yjc+pn11OR3etTtOxdhPSs2eht0biEBD+A//tT+0guXrA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Ytl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98" o:spid="_x0000_s1390" style="position:absolute;flip:x;visibility:visible;mso-wrap-style:square;v-text-anchor:top" from="3944,9898" to="3947,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MucUA&#10;AADcAAAADwAAAGRycy9kb3ducmV2LnhtbESP3YrCMBSE7xd8h3CEvRFNu7Iq1SgiFIp4sf48wLE5&#10;tsXmpDZZ7b69EYS9HGbmG2ax6kwt7tS6yrKCeBSBIM6trrhQcDqmwxkI55E11pZJwR85WC17HwtM&#10;tH3wnu4HX4gAYZeggtL7JpHS5SUZdCPbEAfvYluDPsi2kLrFR4CbWn5F0UQarDgslNjQpqT8evg1&#10;Cga37zQ9Z/HuNNC3NdfxNtv+oFKf/W49B+Gp8//hdzvTCsbTM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0y5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99" o:spid="_x0000_s1391" style="position:absolute;visibility:visible;mso-wrap-style:square;v-text-anchor:top" from="3930,9900" to="3930,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2isQA&#10;AADcAAAADwAAAGRycy9kb3ducmV2LnhtbESPQWvCQBSE74L/YXmCN93YirWpqxSp4FGTHuztkX0m&#10;odm3YXeN0V/vFgoeh5n5hlltetOIjpyvLSuYTRMQxIXVNZcKvvPdZAnCB2SNjWVScCMPm/VwsMJU&#10;2ysfqctCKSKEfYoKqhDaVEpfVGTQT21LHL2zdQZDlK6U2uE1wk0jX5JkIQ3WHBcqbGlbUfGbXYyC&#10;+v2Hz3yYdeUp331pd7hnt+6u1HjUf36ACNSHZ/i/vdcKXt/m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tor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00" o:spid="_x0000_s1392" style="position:absolute;visibility:visible;mso-wrap-style:square;v-text-anchor:top" from="3941,9900" to="3941,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TEcQA&#10;AADcAAAADwAAAGRycy9kb3ducmV2LnhtbESPQWvCQBSE74L/YXmCN93YorWpqxSp4FGTHuztkX0m&#10;odm3YXeN0V/vFgoeh5n5hlltetOIjpyvLSuYTRMQxIXVNZcKvvPdZAnCB2SNjWVScCMPm/VwsMJU&#10;2ysfqctCKSKEfYoKqhDaVEpfVGTQT21LHL2zdQZDlK6U2uE1wk0jX5JkIQ3WHBcqbGlbUfGbXYyC&#10;+v2Hz3yYdeUp331pd7hnt+6u1HjUf36ACNSHZ/i/vdcKXt/m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ExH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01" o:spid="_x0000_s1393" style="position:absolute;visibility:visible;mso-wrap-style:square;v-text-anchor:top" from="3951,9900" to="3951,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NZsMA&#10;AADcAAAADwAAAGRycy9kb3ducmV2LnhtbESPQYvCMBSE78L+h/AW9qapCrpbjSKisEetHnZvj+bZ&#10;FpuXksRa/fVGEDwOM/MNM192phYtOV9ZVjAcJCCIc6srLhQcD9v+NwgfkDXWlknBjTwsFx+9Oaba&#10;XnlPbRYKESHsU1RQhtCkUvq8JIN+YBvi6J2sMxiidIXUDq8Rbmo5SpKJNFhxXCixoXVJ+Tm7GAXV&#10;zz+feDdsi7/DdqPd7p7d2rtSX5/dagYiUBfe4Vf7VysYTy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6NZsMAAADcAAAADwAAAAAAAAAAAAAAAACYAgAAZHJzL2Rv&#10;d25yZXYueG1sUEsFBgAAAAAEAAQA9QAAAIgDAAAAAA==&#10;" strokecolor="black [3213]" strokeweight="2.25pt">
                  <v:textbox>
                    <w:txbxContent>
                      <w:p w:rsidR="00631C6A" w:rsidRDefault="00631C6A" w:rsidP="00631C6A">
                        <w:pPr>
                          <w:rPr>
                            <w:rFonts w:eastAsia="Times New Roman"/>
                          </w:rPr>
                        </w:pPr>
                      </w:p>
                    </w:txbxContent>
                  </v:textbox>
                </v:line>
                <v:line id="Line 102" o:spid="_x0000_s1394" style="position:absolute;visibility:visible;mso-wrap-style:square;v-text-anchor:top" from="3961,9900" to="3961,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o/cUA&#10;AADcAAAADwAAAGRycy9kb3ducmV2LnhtbESPQWvCQBSE70L/w/IKvZlNLNQ2dSOlVOhREw/t7ZF9&#10;JqHZt2F3jdFf3xUEj8PMfMOs1pPpxUjOd5YVZEkKgri2uuNGwb7azF9B+ICssbdMCs7kYV08zFaY&#10;a3viHY1laESEsM9RQRvCkEvp65YM+sQOxNE7WGcwROkaqR2eItz0cpGmL9Jgx3GhxYE+W6r/yqNR&#10;0L398oG32dj8VJsv7baX8jxelHp6nD7eQQSawj18a39rBc/LJ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ij9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03" o:spid="_x0000_s1395" style="position:absolute;visibility:visible;mso-wrap-style:square;v-text-anchor:top" from="3931,9902" to="3931,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8j8AA&#10;AADcAAAADwAAAGRycy9kb3ducmV2LnhtbERPy4rCMBTdD/gP4QruxtQRfFSjiCi4dKoL3V2aa1ts&#10;bkqSqdWvN4sBl4fzXq47U4uWnK8sKxgNExDEudUVFwrOp/33DIQPyBpry6TgSR7Wq97XElNtH/xL&#10;bRYKEUPYp6igDKFJpfR5SQb90DbEkbtZZzBE6AqpHT5iuKnlT5JMpMGKY0OJDW1Lyu/Zn1FQza98&#10;4+OoLS6n/U674yt7ti+lBv1uswARqAsf8b/7oBWMp3Ft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28j8AAAADcAAAADwAAAAAAAAAAAAAAAACYAgAAZHJzL2Rvd25y&#10;ZXYueG1sUEsFBgAAAAAEAAQA9QAAAIUDAAAAAA==&#10;" strokecolor="black [3213]" strokeweight="2.25pt">
                  <v:textbox>
                    <w:txbxContent>
                      <w:p w:rsidR="00631C6A" w:rsidRDefault="00631C6A" w:rsidP="00631C6A">
                        <w:pPr>
                          <w:rPr>
                            <w:rFonts w:eastAsia="Times New Roman"/>
                          </w:rPr>
                        </w:pPr>
                      </w:p>
                    </w:txbxContent>
                  </v:textbox>
                </v:line>
                <v:line id="Line 104" o:spid="_x0000_s1396" style="position:absolute;flip:x;visibility:visible;mso-wrap-style:square;v-text-anchor:top" from="3930,9908" to="3931,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7U8YA&#10;AADcAAAADwAAAGRycy9kb3ducmV2LnhtbESP0WrCQBRE3wv+w3ILvkjdxNLaxmxEhEAQH2z0A26z&#10;1yQ0ezdmt5r+fVco9HGYmTNMuh5NJ640uNaygngegSCurG65VnA65k9vIJxH1thZJgU/5GCdTR5S&#10;TLS98QddS1+LAGGXoILG+z6R0lUNGXRz2xMH72wHgz7IoZZ6wFuAm04uouhVGmw5LDTY07ah6qv8&#10;Ngpml5c8/yzi/WmmLxvu4l2xO6BS08dxswLhafT/4b92oRU8L9/hfi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d7U8YAAADcAAAADwAAAAAAAAAAAAAAAACYAgAAZHJz&#10;L2Rvd25yZXYueG1sUEsFBgAAAAAEAAQA9QAAAIsDAAAAAA==&#10;" strokecolor="black [3213]" strokeweight="2.25pt">
                  <v:textbox>
                    <w:txbxContent>
                      <w:p w:rsidR="00631C6A" w:rsidRDefault="00631C6A" w:rsidP="00631C6A">
                        <w:pPr>
                          <w:rPr>
                            <w:rFonts w:eastAsia="Times New Roman"/>
                          </w:rPr>
                        </w:pPr>
                      </w:p>
                    </w:txbxContent>
                  </v:textbox>
                </v:line>
                <v:line id="Line 105" o:spid="_x0000_s1397" style="position:absolute;flip:x;visibility:visible;mso-wrap-style:square;v-text-anchor:top" from="3930,9912" to="3931,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i6cIA&#10;AADcAAAADwAAAGRycy9kb3ducmV2LnhtbERPzWqDQBC+B/oOyxR6Cc1qQ0qwriEUBJEcWuMDTN2J&#10;StxZ426jffvuodDjx/efHhYziDtNrresIN5EIIgbq3tuFdTn/HkPwnlkjYNlUvBDDg7ZwyrFRNuZ&#10;P+le+VaEEHYJKui8HxMpXdORQbexI3HgLnYy6AOcWqknnEO4GeRLFL1Kgz2Hhg5Heu+ouVbfRsH6&#10;tsvzryI+1Wt9O/IQl0X5gUo9PS7HNxCeFv8v/nMXWsF2H+a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KLpwgAAANwAAAAPAAAAAAAAAAAAAAAAAJgCAABkcnMvZG93&#10;bnJldi54bWxQSwUGAAAAAAQABAD1AAAAhwMAAAAA&#10;" strokecolor="black [3213]" strokeweight="2.25pt">
                  <v:textbox>
                    <w:txbxContent>
                      <w:p w:rsidR="00631C6A" w:rsidRDefault="00631C6A" w:rsidP="00631C6A">
                        <w:pPr>
                          <w:rPr>
                            <w:rFonts w:eastAsia="Times New Roman"/>
                          </w:rPr>
                        </w:pPr>
                      </w:p>
                    </w:txbxContent>
                  </v:textbox>
                </v:line>
                <v:line id="Line 106" o:spid="_x0000_s1398" style="position:absolute;flip:x;visibility:visible;mso-wrap-style:square;v-text-anchor:top" from="3930,9916" to="3931,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csQA&#10;AADcAAAADwAAAGRycy9kb3ducmV2LnhtbESP0YrCMBRE34X9h3AXfJE1rYsi1SiyUCjig1Y/4G5z&#10;bcs2N7WJWv/eLAg+DjNzhlmue9OIG3WutqwgHkcgiAuray4VnI7p1xyE88gaG8uk4EEO1quPwRIT&#10;be98oFvuSxEg7BJUUHnfJlK6oiKDbmxb4uCdbWfQB9mVUnd4D3DTyEkUzaTBmsNChS39VFT85Vej&#10;YHSZpulvFu9OI33ZcBNvs+0elRp+9psFCE+9f4df7Uwr+J7H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B3L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07" o:spid="_x0000_s1399" style="position:absolute;flip:x;visibility:visible;mso-wrap-style:square;v-text-anchor:top" from="3930,9919" to="3931,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ZBcUA&#10;AADcAAAADwAAAGRycy9kb3ducmV2LnhtbESP0WrCQBRE3wv+w3KFvohuklKR1FWCEAjiQ6t+wG32&#10;NgnN3k2ya0z/3i0U+jjMzBlmu59MK0YaXGNZQbyKQBCXVjdcKbhe8uUGhPPIGlvLpOCHHOx3s6ct&#10;ptre+YPGs69EgLBLUUHtfZdK6cqaDLqV7YiD92UHgz7IoZJ6wHuAm1YmUbSWBhsOCzV2dKip/D7f&#10;jIJF/5rnn0V8ui50n3EbH4vjOyr1PJ+yNxCeJv8f/msXWsHLJoH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pkF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08" o:spid="_x0000_s1400" style="position:absolute;visibility:visible;mso-wrap-style:square;v-text-anchor:top" from="3942,9902" to="3942,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e2cQA&#10;AADcAAAADwAAAGRycy9kb3ducmV2LnhtbESPwWrDMBBE74H+g9hCb7GcGorrRgmhNNBjYufQ3hZr&#10;Y5tYKyOptpOvjwqFHoeZecOst7PpxUjOd5YVrJIUBHFtdceNglO1X+YgfEDW2FsmBVfysN08LNZY&#10;aDvxkcYyNCJC2BeooA1hKKT0dUsGfWIH4uidrTMYonSN1A6nCDe9fE7TF2mw47jQ4kDvLdWX8sco&#10;6F6/+cyH1dh8VfsP7Q638jrelHp6nHdvIALN4T/81/7UCrI8g9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8Xtn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09" o:spid="_x0000_s1401" style="position:absolute;flip:x;visibility:visible;mso-wrap-style:square;v-text-anchor:top" from="3941,9908" to="3942,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k6sUA&#10;AADcAAAADwAAAGRycy9kb3ducmV2LnhtbESP3YrCMBSE7xd8h3AEb0TT6ipSjSJCocherD8PcGyO&#10;bbE5qU3U+vabhYW9HGbmG2a16UwtntS6yrKCeByBIM6trrhQcD6lowUI55E11pZJwZscbNa9jxUm&#10;2r74QM+jL0SAsEtQQel9k0jp8pIMurFtiIN3ta1BH2RbSN3iK8BNLSdRNJcGKw4LJTa0Kym/HR9G&#10;wfA+S9NLFn+dh/q+5TreZ/tvVGrQ77ZLEJ46/x/+a2dawXTxCb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6Tq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10" o:spid="_x0000_s1402" style="position:absolute;flip:x;visibility:visible;mso-wrap-style:square;v-text-anchor:top" from="3941,9911" to="3942,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BccQA&#10;AADcAAAADwAAAGRycy9kb3ducmV2LnhtbESP0YrCMBRE34X9h3AXfJE1reIi1SiyUCjig1Y/4Npc&#10;22JzU5us1r83wsI+DjNzhlmue9OIO3WutqwgHkcgiAuray4VnI7p1xyE88gaG8uk4EkO1quPwRIT&#10;bR98oHvuSxEg7BJUUHnfJlK6oiKDbmxb4uBdbGfQB9mVUnf4CHDTyEkUfUuDNYeFClv6qai45r9G&#10;weg2S9NzFu9OI33bcBNvs+0elRp+9psFCE+9/w//tTOtYDqfwft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AXH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12" o:spid="_x0000_s1403" style="position:absolute;flip:x;visibility:visible;mso-wrap-style:square;v-text-anchor:top" from="3941,9915" to="3942,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fBsUA&#10;AADcAAAADwAAAGRycy9kb3ducmV2LnhtbESP0WrCQBRE3wv+w3ILvojZpFIJaTYiQiBIH1r1A67Z&#10;2yQ0ezdmtxr/visU+jjMzBkm30ymF1caXWdZQRLFIIhrqztuFJyO5TIF4Tyyxt4yKbiTg00xe8ox&#10;0/bGn3Q9+EYECLsMFbTeD5mUrm7JoIvsQBy8Lzsa9EGOjdQj3gLc9PIljtfSYMdhocWBdi3V34cf&#10;o2BxeS3Lc5W8nxb6suU+2Vf7D1Rq/jxt30B4mvx/+K9daQWrdA2P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Z8G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13" o:spid="_x0000_s1404" style="position:absolute;flip:x;visibility:visible;mso-wrap-style:square;v-text-anchor:top" from="3941,9918" to="3942,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6ncUA&#10;AADcAAAADwAAAGRycy9kb3ducmV2LnhtbESP3YrCMBSE7xd8h3AEb0TTKqtSjSJCocherD8PcGyO&#10;bbE5qU3U+vabhYW9HGbmG2a16UwtntS6yrKCeByBIM6trrhQcD6lowUI55E11pZJwZscbNa9jxUm&#10;2r74QM+jL0SAsEtQQel9k0jp8pIMurFtiIN3ta1BH2RbSN3iK8BNLSdRNJMGKw4LJTa0Kym/HR9G&#10;wfD+maaXLP46D/V9y3W8z/bfqNSg322XIDx1/j/81860guli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Tqd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14" o:spid="_x0000_s1405" style="position:absolute;flip:x;visibility:visible;mso-wrap-style:square;v-text-anchor:top" from="3941,9921" to="3942,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u78IA&#10;AADcAAAADwAAAGRycy9kb3ducmV2LnhtbERPzWqDQBC+B/oOyxR6Cc1qQ0qwriEUBJEcWuMDTN2J&#10;StxZ426jffvuodDjx/efHhYziDtNrresIN5EIIgbq3tuFdTn/HkPwnlkjYNlUvBDDg7ZwyrFRNuZ&#10;P+le+VaEEHYJKui8HxMpXdORQbexI3HgLnYy6AOcWqknnEO4GeRLFL1Kgz2Hhg5Heu+ouVbfRsH6&#10;tsvzryI+1Wt9O/IQl0X5gUo9PS7HNxCeFv8v/nMXWsF2H9a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q7vwgAAANwAAAAPAAAAAAAAAAAAAAAAAJgCAABkcnMvZG93&#10;bnJldi54bWxQSwUGAAAAAAQABAD1AAAAhwMAAAAA&#10;" strokecolor="black [3213]" strokeweight="2.25pt">
                  <v:textbox>
                    <w:txbxContent>
                      <w:p w:rsidR="00631C6A" w:rsidRDefault="00631C6A" w:rsidP="00631C6A">
                        <w:pPr>
                          <w:rPr>
                            <w:rFonts w:eastAsia="Times New Roman"/>
                          </w:rPr>
                        </w:pPr>
                      </w:p>
                    </w:txbxContent>
                  </v:textbox>
                </v:line>
                <v:line id="Line 115" o:spid="_x0000_s1406" style="position:absolute;flip:x;visibility:visible;mso-wrap-style:square;v-text-anchor:top" from="3941,9925" to="3942,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LdMYA&#10;AADcAAAADwAAAGRycy9kb3ducmV2LnhtbESPzWrDMBCE74W+g9hCLqGRndCQulFMCBiM6aH5eYCt&#10;tbVNrZVtKbHz9lWh0OMwM98w23QyrbjR4BrLCuJFBIK4tLrhSsHlnD1vQDiPrLG1TAru5CDdPT5s&#10;MdF25CPdTr4SAcIuQQW1910ipStrMugWtiMO3pcdDPogh0rqAccAN61cRtFaGmw4LNTY0aGm8vt0&#10;NQrm/UuWfebx+2Wu+z23cZEXH6jU7Gnav4HwNPn/8F871wpWm1f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ILdMYAAADcAAAADwAAAAAAAAAAAAAAAACYAgAAZHJz&#10;L2Rvd25yZXYueG1sUEsFBgAAAAAEAAQA9QAAAIsDAAAAAA==&#10;" strokecolor="black [3213]" strokeweight="2.25pt">
                  <v:textbox>
                    <w:txbxContent>
                      <w:p w:rsidR="00631C6A" w:rsidRDefault="00631C6A" w:rsidP="00631C6A">
                        <w:pPr>
                          <w:rPr>
                            <w:rFonts w:eastAsia="Times New Roman"/>
                          </w:rPr>
                        </w:pPr>
                      </w:p>
                    </w:txbxContent>
                  </v:textbox>
                </v:line>
                <v:line id="Line 116" o:spid="_x0000_s1407" style="position:absolute;visibility:visible;mso-wrap-style:square;v-text-anchor:top" from="3954,9902" to="3954,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Wc8AA&#10;AADcAAAADwAAAGRycy9kb3ducmV2LnhtbERPTYvCMBC9C/sfwgjeNFVBtGtaZFHYo1YPu7ehGduy&#10;zaQk2Vr99eYgeHy8720+mFb05HxjWcF8loAgLq1uuFJwOR+maxA+IGtsLZOCO3nIs4/RFlNtb3yi&#10;vgiViCHsU1RQh9ClUvqyJoN+ZjviyF2tMxgidJXUDm8x3LRykSQrabDh2FBjR181lX/Fv1HQbH75&#10;ysd5X/2cD3vtjo/i3j+UmoyH3SeIQEN4i1/ub61guYnz45l4BG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dWc8AAAADcAAAADwAAAAAAAAAAAAAAAACYAgAAZHJzL2Rvd25y&#10;ZXYueG1sUEsFBgAAAAAEAAQA9QAAAIUDAAAAAA==&#10;" strokecolor="black [3213]" strokeweight="2.25pt">
                  <v:textbox>
                    <w:txbxContent>
                      <w:p w:rsidR="00631C6A" w:rsidRDefault="00631C6A" w:rsidP="00631C6A">
                        <w:pPr>
                          <w:rPr>
                            <w:rFonts w:eastAsia="Times New Roman"/>
                          </w:rPr>
                        </w:pPr>
                      </w:p>
                    </w:txbxContent>
                  </v:textbox>
                </v:line>
                <v:line id="Line 117" o:spid="_x0000_s1408" style="position:absolute;flip:x;visibility:visible;mso-wrap-style:square;v-text-anchor:top" from="3952,9908" to="3954,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Rr8YA&#10;AADcAAAADwAAAGRycy9kb3ducmV2LnhtbESP0WrCQBRE34X+w3ILfRHdpGJpU1eRQiCIDzbNB1yz&#10;t0lo9m7MbpP4926h4OMwM2eYzW4yrRiod41lBfEyAkFcWt1wpaD4ShevIJxH1thaJgVXcrDbPsw2&#10;mGg78icNua9EgLBLUEHtfZdI6cqaDLql7YiD9217gz7IvpK6xzHATSufo+hFGmw4LNTY0UdN5U/+&#10;axTML+s0PWfxsZjry57b+JAdTqjU0+O0fwfhafL38H870wpWbzH8nQ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2Rr8YAAADcAAAADwAAAAAAAAAAAAAAAACYAgAAZHJz&#10;L2Rvd25yZXYueG1sUEsFBgAAAAAEAAQA9QAAAIsDAAAAAA==&#10;" strokecolor="black [3213]" strokeweight="2.25pt">
                  <v:textbox>
                    <w:txbxContent>
                      <w:p w:rsidR="00631C6A" w:rsidRDefault="00631C6A" w:rsidP="00631C6A">
                        <w:pPr>
                          <w:rPr>
                            <w:rFonts w:eastAsia="Times New Roman"/>
                          </w:rPr>
                        </w:pPr>
                      </w:p>
                    </w:txbxContent>
                  </v:textbox>
                </v:line>
                <v:line id="Line 118" o:spid="_x0000_s1409" style="position:absolute;flip:x;visibility:visible;mso-wrap-style:square;v-text-anchor:top" from="3952,9913" to="3954,9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P2MQA&#10;AADcAAAADwAAAGRycy9kb3ducmV2LnhtbESP0YrCMBRE3xf2H8Jd8EU0reKi1SiyUCjig7p+wLW5&#10;tmWbm9pErX9vBGEfh5k5wyxWnanFjVpXWVYQDyMQxLnVFRcKjr/pYArCeWSNtWVS8CAHq+XnxwIT&#10;be+8p9vBFyJA2CWooPS+SaR0eUkG3dA2xME729agD7ItpG7xHuCmlqMo+pYGKw4LJTb0U1L+d7ga&#10;Bf3LJE1PWbw99vVlzXW8yTY7VKr31a3nIDx1/j/8bmdawXg2gt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vD9j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19" o:spid="_x0000_s1410" style="position:absolute;flip:x;visibility:visible;mso-wrap-style:square;v-text-anchor:top" from="3952,9917" to="3954,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qQ8UA&#10;AADcAAAADwAAAGRycy9kb3ducmV2LnhtbESP3YrCMBSE7xd8h3CEvRFNu7Ki1SgiFIp4sf48wLE5&#10;tsXmpDZZ7b69EYS9HGbmG2ax6kwt7tS6yrKCeBSBIM6trrhQcDqmwykI55E11pZJwR85WC17HwtM&#10;tH3wnu4HX4gAYZeggtL7JpHS5SUZdCPbEAfvYluDPsi2kLrFR4CbWn5F0UQarDgslNjQpqT8evg1&#10;Cga37zQ9Z/HuNNC3NdfxNtv+oFKf/W49B+Gp8//hdzvTCsazM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6pD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20" o:spid="_x0000_s1411" style="position:absolute;flip:x;visibility:visible;mso-wrap-style:square;v-text-anchor:top" from="3952,9922" to="3954,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yN8YA&#10;AADcAAAADwAAAGRycy9kb3ducmV2LnhtbESP0WrCQBRE3wv+w3ILvkjdxLbSxmxEhEAQH2z0A26z&#10;1yQ0ezdmt5r+fVco9HGYmTNMuh5NJ640uNaygngegSCurG65VnA65k9vIJxH1thZJgU/5GCdTR5S&#10;TLS98QddS1+LAGGXoILG+z6R0lUNGXRz2xMH72wHgz7IoZZ6wFuAm04uomgpDbYcFhrsadtQ9VV+&#10;GwWzy2uefxbx/jTTlw138a7YHVCp6eO4WYHwNPr/8F+70Aqe31/gfi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oyN8YAAADcAAAADwAAAAAAAAAAAAAAAACYAgAAZHJz&#10;L2Rvd25yZXYueG1sUEsFBgAAAAAEAAQA9QAAAIsDAAAAAA==&#10;" strokecolor="black [3213]" strokeweight="2.25pt">
                  <v:textbox>
                    <w:txbxContent>
                      <w:p w:rsidR="00631C6A" w:rsidRDefault="00631C6A" w:rsidP="00631C6A">
                        <w:pPr>
                          <w:rPr>
                            <w:rFonts w:eastAsia="Times New Roman"/>
                          </w:rPr>
                        </w:pPr>
                      </w:p>
                    </w:txbxContent>
                  </v:textbox>
                </v:line>
                <v:line id="Line 121" o:spid="_x0000_s1412" style="position:absolute;visibility:visible;mso-wrap-style:square;v-text-anchor:top" from="3958,9902" to="3958,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168UA&#10;AADcAAAADwAAAGRycy9kb3ducmV2LnhtbESPQWvCQBSE7wX/w/IK3ppNKi2augYpFXrUxIO9PbLP&#10;JDT7NuxuY/TXdwtCj8PMfMOsi8n0YiTnO8sKsiQFQVxb3XGj4FjtnpYgfEDW2FsmBVfyUGxmD2vM&#10;tb3wgcYyNCJC2OeooA1hyKX0dUsGfWIH4uidrTMYonSN1A4vEW56+Zymr9Jgx3GhxYHeW6q/yx+j&#10;oFt98Zn32dicqt2HdvtbeR1vSs0fp+0biEBT+A/f259awWL1A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PXr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22" o:spid="_x0000_s1413" style="position:absolute;visibility:visible;mso-wrap-style:square;v-text-anchor:top" from="3958,9905" to="3960,9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rnMMA&#10;AADcAAAADwAAAGRycy9kb3ducmV2LnhtbESPQYvCMBSE78L+h/AEb5qqILYaRRaFPbrVw+7t0Tzb&#10;YvNSkmyt/vqNIHgcZuYbZr3tTSM6cr62rGA6SUAQF1bXXCo4nw7jJQgfkDU2lknBnTxsNx+DNWba&#10;3vibujyUIkLYZ6igCqHNpPRFRQb9xLbE0btYZzBE6UqpHd4i3DRyliQLabDmuFBhS58VFdf8zyio&#10;01++8HHalT+nw1674yO/dw+lRsN+twIRqA/v8Kv9pRXM0wU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JrnMMAAADcAAAADwAAAAAAAAAAAAAAAACYAgAAZHJzL2Rv&#10;d25yZXYueG1sUEsFBgAAAAAEAAQA9QAAAIgDAAAAAA==&#10;" strokecolor="black [3213]" strokeweight="2.25pt">
                  <v:textbox>
                    <w:txbxContent>
                      <w:p w:rsidR="00631C6A" w:rsidRDefault="00631C6A" w:rsidP="00631C6A">
                        <w:pPr>
                          <w:rPr>
                            <w:rFonts w:eastAsia="Times New Roman"/>
                          </w:rPr>
                        </w:pPr>
                      </w:p>
                    </w:txbxContent>
                  </v:textbox>
                </v:line>
                <v:line id="Line 123" o:spid="_x0000_s1414" style="position:absolute;visibility:visible;mso-wrap-style:square;v-text-anchor:top" from="3958,9913" to="3960,9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OB8UA&#10;AADcAAAADwAAAGRycy9kb3ducmV2LnhtbESPQWvCQBSE7wX/w/IK3ppNKrSaugYpFXrUxIO9PbLP&#10;JDT7NuxuY/TXdwtCj8PMfMOsi8n0YiTnO8sKsiQFQVxb3XGj4FjtnpYgfEDW2FsmBVfyUGxmD2vM&#10;tb3wgcYyNCJC2OeooA1hyKX0dUsGfWIH4uidrTMYonSN1A4vEW56+ZymL9Jgx3GhxYHeW6q/yx+j&#10;oFt98Zn32dicqt2HdvtbeR1vSs0fp+0biEBT+A/f259awWL1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s4H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24" o:spid="_x0000_s1415" style="position:absolute;visibility:visible;mso-wrap-style:square;v-text-anchor:top" from="3958,9920" to="3960,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adcAA&#10;AADcAAAADwAAAGRycy9kb3ducmV2LnhtbERPTYvCMBC9C/sfwgjeNFVBtGtaZFHYo1YPu7ehGduy&#10;zaQk2Vr99eYgeHy8720+mFb05HxjWcF8loAgLq1uuFJwOR+maxA+IGtsLZOCO3nIs4/RFlNtb3yi&#10;vgiViCHsU1RQh9ClUvqyJoN+ZjviyF2tMxgidJXUDm8x3LRykSQrabDh2FBjR181lX/Fv1HQbH75&#10;ysd5X/2cD3vtjo/i3j+UmoyH3SeIQEN4i1/ub61guYlr45l4BG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FadcAAAADcAAAADwAAAAAAAAAAAAAAAACYAgAAZHJzL2Rvd25y&#10;ZXYueG1sUEsFBgAAAAAEAAQA9QAAAIUDAAAAAA==&#10;" strokecolor="black [3213]" strokeweight="2.25pt">
                  <v:textbox>
                    <w:txbxContent>
                      <w:p w:rsidR="00631C6A" w:rsidRDefault="00631C6A" w:rsidP="00631C6A">
                        <w:pPr>
                          <w:rPr>
                            <w:rFonts w:eastAsia="Times New Roman"/>
                          </w:rPr>
                        </w:pPr>
                      </w:p>
                    </w:txbxContent>
                  </v:textbox>
                </v:line>
                <v:line id="Line 125" o:spid="_x0000_s1416" style="position:absolute;visibility:visible;mso-wrap-style:square;v-text-anchor:top" from="3958,9926" to="3961,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7sQA&#10;AADcAAAADwAAAGRycy9kb3ducmV2LnhtbESPzWrDMBCE74W8g9hAb42cBkLtRgklxJBj4vTQ3hZr&#10;Y5taKyOp/nv6qlDocZiZb5jdYTSt6Mn5xrKC9SoBQVxa3XCl4P2WP72A8AFZY2uZFEzk4bBfPOww&#10;03bgK/VFqESEsM9QQR1Cl0npy5oM+pXtiKN3t85giNJVUjscIty08jlJttJgw3Ghxo6ONZVfxbdR&#10;0KSffOfLuq8+bvlJu8tcTP2s1ONyfHsFEWgM/+G/9lkr2KQp/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7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26" o:spid="_x0000_s1417" style="position:absolute;visibility:visible;mso-wrap-style:square;v-text-anchor:top" from="3964,9905" to="3964,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kcAA&#10;AADcAAAADwAAAGRycy9kb3ducmV2LnhtbERPTYvCMBC9C/6HMAveNHUR0W5TWWQFj271oLehGduy&#10;zaQksVZ//eYgeHy872wzmFb05HxjWcF8loAgLq1uuFJwOu6mKxA+IGtsLZOCB3nY5ONRhqm2d/6l&#10;vgiViCHsU1RQh9ClUvqyJoN+ZjviyF2tMxgidJXUDu8x3LTyM0mW0mDDsaHGjrY1lX/FzSho1he+&#10;8mHeV+fj7ke7w7N49E+lJh/D9xeIQEN4i1/uvVawSOL8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cOkcAAAADcAAAADwAAAAAAAAAAAAAAAACYAgAAZHJzL2Rvd25y&#10;ZXYueG1sUEsFBgAAAAAEAAQA9QAAAIUDAAAAAA==&#10;" strokecolor="black [3213]" strokeweight="2.25pt">
                  <v:textbox>
                    <w:txbxContent>
                      <w:p w:rsidR="00631C6A" w:rsidRDefault="00631C6A" w:rsidP="00631C6A">
                        <w:pPr>
                          <w:rPr>
                            <w:rFonts w:eastAsia="Times New Roman"/>
                          </w:rPr>
                        </w:pPr>
                      </w:p>
                    </w:txbxContent>
                  </v:textbox>
                </v:line>
                <v:line id="Line 127" o:spid="_x0000_s1418" style="position:absolute;visibility:visible;mso-wrap-style:square;v-text-anchor:top" from="3964,9911" to="3966,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rCsQA&#10;AADcAAAADwAAAGRycy9kb3ducmV2LnhtbESPwWrDMBBE74X+g9hCb43sEkLjRgml1JCj4+SQ3hZr&#10;Y5taKyOptuOvrwKBHoeZecNsdpPpxEDOt5YVpIsEBHFldcu1gtMxf3kD4QOyxs4yKbiSh9328WGD&#10;mbYjH2goQy0ihH2GCpoQ+kxKXzVk0C9sTxy9i3UGQ5SultrhGOGmk69JspIGW44LDfb02VD1U/4a&#10;Be36my9cpEN9PuZf2hVzeR1mpZ6fpo93EIGm8B++t/dawTJJ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qwr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28" o:spid="_x0000_s1419" style="position:absolute;visibility:visible;mso-wrap-style:square;v-text-anchor:top" from="3964,9909" to="3966,9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1fcIA&#10;AADcAAAADwAAAGRycy9kb3ducmV2LnhtbESPQYvCMBSE7wv+h/CEva2pIqLVKCIreNTqQW+P5tkW&#10;m5eSZGv1128EweMwM98wi1VnatGS85VlBcNBAoI4t7riQsHpuP2ZgvABWWNtmRQ8yMNq2ftaYKrt&#10;nQ/UZqEQEcI+RQVlCE0qpc9LMugHtiGO3tU6gyFKV0jt8B7hppajJJlIgxXHhRIb2pSU37I/o6Ca&#10;XfjK+2FbnI/bX+32z+zRPpX67nfrOYhAXfiE3+2dVjBORvA6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TV9wgAAANwAAAAPAAAAAAAAAAAAAAAAAJgCAABkcnMvZG93&#10;bnJldi54bWxQSwUGAAAAAAQABAD1AAAAhwMAAAAA&#10;" strokecolor="black [3213]" strokeweight="2.25pt">
                  <v:textbox>
                    <w:txbxContent>
                      <w:p w:rsidR="00631C6A" w:rsidRDefault="00631C6A" w:rsidP="00631C6A">
                        <w:pPr>
                          <w:rPr>
                            <w:rFonts w:eastAsia="Times New Roman"/>
                          </w:rPr>
                        </w:pPr>
                      </w:p>
                    </w:txbxContent>
                  </v:textbox>
                </v:line>
                <v:line id="Line 129" o:spid="_x0000_s1420" style="position:absolute;visibility:visible;mso-wrap-style:square;v-text-anchor:top" from="3964,9907" to="3966,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Q5sUA&#10;AADcAAAADwAAAGRycy9kb3ducmV2LnhtbESPQWvCQBSE7wX/w/KE3urGtpQaXYOUCj3G2IPeHtln&#10;Esy+DbvbJObXdwtCj8PMfMNsstG0oifnG8sKlosEBHFpdcOVgu/j/ukdhA/IGlvLpOBGHrLt7GGD&#10;qbYDH6gvQiUihH2KCuoQulRKX9Zk0C9sRxy9i3UGQ5SuktrhEOGmlc9J8iYNNhwXauzoo6byWvwY&#10;Bc3qzBfOl311Ou4/tcun4tZPSj3Ox90aRKAx/Ifv7S+t4DV5g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ZDm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30" o:spid="_x0000_s1421" style="position:absolute;visibility:visible;mso-wrap-style:square;v-text-anchor:top" from="3964,9914" to="3964,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IksMA&#10;AADcAAAADwAAAGRycy9kb3ducmV2LnhtbESPQYvCMBSE78L+h/CEvdlUEXGrUWRR8KjVg3t7NM+2&#10;2LyUJNbqr98sLHgcZuYbZrnuTSM6cr62rGCcpCCIC6trLhWcT7vRHIQPyBoby6TgSR7Wq4/BEjNt&#10;H3ykLg+liBD2GSqoQmgzKX1RkUGf2JY4elfrDIYoXSm1w0eEm0ZO0nQmDdYcFyps6bui4pbfjYL6&#10;64evfBh35eW022p3eOXP7qXU57DfLEAE6sM7/N/eawXTdA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wIksMAAADcAAAADwAAAAAAAAAAAAAAAACYAgAAZHJzL2Rv&#10;d25yZXYueG1sUEsFBgAAAAAEAAQA9QAAAIgDAAAAAA==&#10;" strokecolor="black [3213]" strokeweight="2.25pt">
                  <v:textbox>
                    <w:txbxContent>
                      <w:p w:rsidR="00631C6A" w:rsidRDefault="00631C6A" w:rsidP="00631C6A">
                        <w:pPr>
                          <w:rPr>
                            <w:rFonts w:eastAsia="Times New Roman"/>
                          </w:rPr>
                        </w:pPr>
                      </w:p>
                    </w:txbxContent>
                  </v:textbox>
                </v:line>
                <v:line id="Line 131" o:spid="_x0000_s1422" style="position:absolute;visibility:visible;mso-wrap-style:square;v-text-anchor:top" from="3964,9918" to="3966,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tCcUA&#10;AADcAAAADwAAAGRycy9kb3ducmV2LnhtbESPQWvCQBSE7wX/w/KE3urG0pYaXYOUCj3G2IPeHtln&#10;Esy+DbvbJObXdwtCj8PMfMNsstG0oifnG8sKlosEBHFpdcOVgu/j/ukdhA/IGlvLpOBGHrLt7GGD&#10;qbYDH6gvQiUihH2KCuoQulRKX9Zk0C9sRxy9i3UGQ5SuktrhEOGmlc9J8iYNNhwXauzoo6byWvwY&#10;Bc3qzBfOl311Ou4/tcun4tZPSj3Ox90aRKAx/Ifv7S+t4CV5h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K0J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32" o:spid="_x0000_s1423" style="position:absolute;visibility:visible;mso-wrap-style:square;v-text-anchor:top" from="3964,9916" to="3966,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zfsQA&#10;AADcAAAADwAAAGRycy9kb3ducmV2LnhtbESPwWrDMBBE74H+g9hAb7HsUkLrRgmhNNCj6+SQ3hZr&#10;Y5taKyOpju2vrwKBHoeZecNsdqPpxEDOt5YVZEkKgriyuuVawel4WL2A8AFZY2eZFEzkYbd9WGww&#10;1/bKXzSUoRYRwj5HBU0IfS6lrxoy6BPbE0fvYp3BEKWrpXZ4jXDTyac0XUuDLceFBnt6b6j6KX+N&#10;gvb1my9cZEN9Ph4+tCvmchpmpR6X4/4NRKAx/Ifv7U+t4Dldw+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M37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33" o:spid="_x0000_s1424" style="position:absolute;visibility:visible;mso-wrap-style:square;v-text-anchor:top" from="3964,9921" to="3964,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W5cUA&#10;AADcAAAADwAAAGRycy9kb3ducmV2LnhtbESPQWvCQBSE7wX/w/KE3urGUtoaXYOUCj3G2IPeHtln&#10;Esy+DbvbJObXdwtCj8PMfMNsstG0oifnG8sKlosEBHFpdcOVgu/j/ukdhA/IGlvLpOBGHrLt7GGD&#10;qbYDH6gvQiUihH2KCuoQulRKX9Zk0C9sRxy9i3UGQ5SuktrhEOGmlc9J8ioNNhwXauzoo6byWvwY&#10;Bc3qzBfOl311Ou4/tcun4tZPSj3Ox90aRKAx/Ifv7S+t4CV5g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bl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34" o:spid="_x0000_s1425" style="position:absolute;visibility:visible;mso-wrap-style:square;v-text-anchor:top" from="3964,9924" to="3966,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Cl8AA&#10;AADcAAAADwAAAGRycy9kb3ducmV2LnhtbERPTYvCMBC9C/6HMAveNHUR0W5TWWQFj271oLehGduy&#10;zaQksVZ//eYgeHy872wzmFb05HxjWcF8loAgLq1uuFJwOu6mKxA+IGtsLZOCB3nY5ONRhqm2d/6l&#10;vgiViCHsU1RQh9ClUvqyJoN+ZjviyF2tMxgidJXUDu8x3LTyM0mW0mDDsaHGjrY1lX/FzSho1he+&#10;8mHeV+fj7ke7w7N49E+lJh/D9xeIQEN4i1/uvVawSOLa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ECl8AAAADcAAAADwAAAAAAAAAAAAAAAACYAgAAZHJzL2Rvd25y&#10;ZXYueG1sUEsFBgAAAAAEAAQA9QAAAIUDAAAAAA==&#10;" strokecolor="black [3213]" strokeweight="2.25pt">
                  <v:textbox>
                    <w:txbxContent>
                      <w:p w:rsidR="00631C6A" w:rsidRDefault="00631C6A" w:rsidP="00631C6A">
                        <w:pPr>
                          <w:rPr>
                            <w:rFonts w:eastAsia="Times New Roman"/>
                          </w:rPr>
                        </w:pPr>
                      </w:p>
                    </w:txbxContent>
                  </v:textbox>
                </v:line>
                <v:line id="Line 135" o:spid="_x0000_s1426" style="position:absolute;visibility:visible;mso-wrap-style:square;v-text-anchor:top" from="3964,9922" to="3966,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2nDMMA&#10;AADcAAAADwAAAGRycy9kb3ducmV2LnhtbESPQYvCMBSE78L+h/AWvGmqLGKrUWRZYY9aPejt0Tzb&#10;YvNSklirv94sLHgcZuYbZrnuTSM6cr62rGAyTkAQF1bXXCo4HrajOQgfkDU2lknBgzysVx+DJWba&#10;3nlPXR5KESHsM1RQhdBmUvqiIoN+bFvi6F2sMxiidKXUDu8Rbho5TZKZNFhzXKiwpe+Kimt+Mwrq&#10;9MwX3k268nTY/mi3e+aP7qnU8LPfLEAE6sM7/N/+1Qq+kh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2nDMMAAADcAAAADwAAAAAAAAAAAAAAAACYAgAAZHJzL2Rv&#10;d25yZXYueG1sUEsFBgAAAAAEAAQA9QAAAIgDAAAAAA==&#10;" strokecolor="black [3213]" strokeweight="2.25pt">
                  <v:textbox>
                    <w:txbxContent>
                      <w:p w:rsidR="00631C6A" w:rsidRDefault="00631C6A" w:rsidP="00631C6A">
                        <w:pPr>
                          <w:rPr>
                            <w:rFonts w:eastAsia="Times New Roman"/>
                          </w:rPr>
                        </w:pPr>
                      </w:p>
                    </w:txbxContent>
                  </v:textbox>
                </v:line>
                <v:line id="Line 136" o:spid="_x0000_s1427" style="position:absolute;visibility:visible;mso-wrap-style:square;v-text-anchor:top" from="3964,9927" to="3964,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TMAA&#10;AADcAAAADwAAAGRycy9kb3ducmV2LnhtbERPTYvCMBC9C/sfwgjebFoRcbtGkUVhj1o9uLehGduy&#10;zaQk2Vr99eYgeHy879VmMK3oyfnGsoIsSUEQl1Y3XCk4n/bTJQgfkDW2lknBnTxs1h+jFeba3vhI&#10;fREqEUPY56igDqHLpfRlTQZ9YjviyF2tMxgidJXUDm8x3LRylqYLabDh2FBjR981lX/Fv1HQfP7y&#10;lQ9ZX11O+512h0dx7x9KTcbD9gtEoCG8xS/3j1Ywz+L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YTMAAAADcAAAADwAAAAAAAAAAAAAAAACYAgAAZHJzL2Rvd25y&#10;ZXYueG1sUEsFBgAAAAAEAAQA9QAAAIUDAAAAAA==&#10;" strokecolor="black [3213]" strokeweight="2.25pt">
                  <v:textbox>
                    <w:txbxContent>
                      <w:p w:rsidR="00631C6A" w:rsidRDefault="00631C6A" w:rsidP="00631C6A">
                        <w:pPr>
                          <w:rPr>
                            <w:rFonts w:eastAsia="Times New Roman"/>
                          </w:rPr>
                        </w:pPr>
                      </w:p>
                    </w:txbxContent>
                  </v:textbox>
                </v:line>
                <v:line id="Line 137" o:spid="_x0000_s1428" style="position:absolute;visibility:visible;mso-wrap-style:square;v-text-anchor:top" from="3964,9930" to="3966,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918QA&#10;AADcAAAADwAAAGRycy9kb3ducmV2LnhtbESPzWrDMBCE74W+g9hCb7XsEkLjRgmlNJBj4uSQ3hZr&#10;/UOtlZFUxcnTV4FAj8PMfMMs15MZRCTne8sKiiwHQVxb3XOr4HjYvLyB8AFZ42CZFFzIw3r1+LDE&#10;Utsz7ylWoRUJwr5EBV0IYymlrzsy6DM7Eievsc5gSNK1Ujs8J7gZ5Guez6XBntNChyN9dlT/VL9G&#10;Qb/45oZ3RWxPh82XdrtrdYlXpZ6fpo93EIGm8B++t7dawawo4H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Pdf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38" o:spid="_x0000_s1429" style="position:absolute;visibility:visible;mso-wrap-style:square;v-text-anchor:top" from="3964,9928" to="3966,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joMMA&#10;AADcAAAADwAAAGRycy9kb3ducmV2LnhtbESPQYvCMBSE78L+h/AEb5pWZHGrUWRR8OhWD+7t0Tzb&#10;YvNSklirv94sLHgcZuYbZrnuTSM6cr62rCCdJCCIC6trLhWcjrvxHIQPyBoby6TgQR7Wq4/BEjNt&#10;7/xDXR5KESHsM1RQhdBmUvqiIoN+Ylvi6F2sMxiidKXUDu8Rbho5TZJPabDmuFBhS98VFdf8ZhTU&#10;X7984UPalefjbqvd4Zk/uqdSo2G/WYAI1Id3+L+91wpm6R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joMMAAADcAAAADwAAAAAAAAAAAAAAAACYAgAAZHJzL2Rv&#10;d25yZXYueG1sUEsFBgAAAAAEAAQA9QAAAIgDAAAAAA==&#10;" strokecolor="black [3213]" strokeweight="2.25pt">
                  <v:textbox>
                    <w:txbxContent>
                      <w:p w:rsidR="00631C6A" w:rsidRDefault="00631C6A" w:rsidP="00631C6A">
                        <w:pPr>
                          <w:rPr>
                            <w:rFonts w:eastAsia="Times New Roman"/>
                          </w:rPr>
                        </w:pPr>
                      </w:p>
                    </w:txbxContent>
                  </v:textbox>
                </v:line>
                <v:line id="Line 139" o:spid="_x0000_s1430" style="position:absolute;flip:x;visibility:visible;mso-wrap-style:square;v-text-anchor:top" from="3932,9928" to="3941,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kfMYA&#10;AADcAAAADwAAAGRycy9kb3ducmV2LnhtbESP0WrCQBRE34X+w3ILfRHdpNpSUleRQiCIDzbNB1yz&#10;t0lo9m7MbpP4926h4OMwM2eYzW4yrRiod41lBfEyAkFcWt1wpaD4ShdvIJxH1thaJgVXcrDbPsw2&#10;mGg78icNua9EgLBLUEHtfZdI6cqaDLql7YiD9217gz7IvpK6xzHATSufo+hVGmw4LNTY0UdN5U/+&#10;axTMLy9pes7iYzHXlz238SE7nFCpp8dp/w7C0+Tv4f92phWs4xX8nQ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pkfMYAAADcAAAADwAAAAAAAAAAAAAAAACYAgAAZHJz&#10;L2Rvd25yZXYueG1sUEsFBgAAAAAEAAQA9QAAAIsDAAAAAA==&#10;" strokecolor="black [3213]" strokeweight="2.25pt">
                  <v:textbox>
                    <w:txbxContent>
                      <w:p w:rsidR="00631C6A" w:rsidRDefault="00631C6A" w:rsidP="00631C6A">
                        <w:pPr>
                          <w:rPr>
                            <w:rFonts w:eastAsia="Times New Roman"/>
                          </w:rPr>
                        </w:pPr>
                      </w:p>
                    </w:txbxContent>
                  </v:textbox>
                </v:line>
                <v:line id="Line 140" o:spid="_x0000_s1431" style="position:absolute;flip:y;visibility:visible;mso-wrap-style:square;v-text-anchor:top" from="3932,9910" to="393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8CMUA&#10;AADcAAAADwAAAGRycy9kb3ducmV2LnhtbESP0WqDQBRE3wP9h+UW+iJ1tZhSTDYhFAQJeWisH3Dj&#10;3qrUvWvcbWL/vhso5HGYmTPMejubQVxocr1lBWmcgCBurO65VVB/Fs9vIJxH1jhYJgW/5GC7eVis&#10;Mdf2yke6VL4VAcIuRwWd92MupWs6MuhiOxIH78tOBn2QUyv1hNcAN4N8SZJXabDnsNDhSO8dNd/V&#10;j1EQnZdFcSrTQx3p846HdF/uP1Cpp8d5twLhafb38H+71AqyNIP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wIxQAAANwAAAAPAAAAAAAAAAAAAAAAAJgCAABkcnMv&#10;ZG93bnJldi54bWxQSwUGAAAAAAQABAD1AAAAigMAAAAA&#10;" strokecolor="black [3213]" strokeweight="2.25pt">
                  <v:textbox>
                    <w:txbxContent>
                      <w:p w:rsidR="00631C6A" w:rsidRDefault="00631C6A" w:rsidP="00631C6A">
                        <w:pPr>
                          <w:rPr>
                            <w:rFonts w:eastAsia="Times New Roman"/>
                          </w:rPr>
                        </w:pPr>
                      </w:p>
                    </w:txbxContent>
                  </v:textbox>
                </v:line>
                <v:line id="Line 141" o:spid="_x0000_s1432" style="position:absolute;flip:x;visibility:visible;mso-wrap-style:square;v-text-anchor:top" from="3931,9910" to="3932,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Zk8MA&#10;AADcAAAADwAAAGRycy9kb3ducmV2LnhtbESP0YrCMBRE3wX/IVxhX0TTLusi1SgiFIrsg7p+wLW5&#10;tsXmpjZR698bQfBxmJkzzHzZmVrcqHWVZQXxOAJBnFtdcaHg8J+OpiCcR9ZYWyYFD3KwXPR7c0y0&#10;vfOObntfiABhl6CC0vsmkdLlJRl0Y9sQB+9kW4M+yLaQusV7gJtafkfRrzRYcVgosaF1Sfl5fzUK&#10;hpdJmh6z+O8w1JcV1/Em22xRqa9Bt5qB8NT5T/jdzrSCn3g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Zk8MAAADcAAAADwAAAAAAAAAAAAAAAACYAgAAZHJzL2Rv&#10;d25yZXYueG1sUEsFBgAAAAAEAAQA9QAAAIgDAAAAAA==&#10;" strokecolor="black [3213]" strokeweight="2.25pt">
                  <v:textbox>
                    <w:txbxContent>
                      <w:p w:rsidR="00631C6A" w:rsidRDefault="00631C6A" w:rsidP="00631C6A">
                        <w:pPr>
                          <w:rPr>
                            <w:rFonts w:eastAsia="Times New Roman"/>
                          </w:rPr>
                        </w:pPr>
                      </w:p>
                    </w:txbxContent>
                  </v:textbox>
                </v:line>
                <v:line id="Line 142" o:spid="_x0000_s1433" style="position:absolute;visibility:visible;mso-wrap-style:square;v-text-anchor:top" from="3947,9929" to="3947,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lo8QA&#10;AADcAAAADwAAAGRycy9kb3ducmV2LnhtbESPwWrDMBBE74X8g9hCb43sUkzjRgklNJCjY/fQ3BZr&#10;Y5taKyMpjp2vjwqFHoeZecOst5PpxUjOd5YVpMsEBHFtdceNgq9q//wGwgdkjb1lUjCTh+1m8bDG&#10;XNsrH2ksQyMihH2OCtoQhlxKX7dk0C/tQBy9s3UGQ5SukdrhNcJNL1+SJJMGO44LLQ60a6n+KS9G&#10;Qbc68ZmLdGy+q/2ndsWtnMebUk+P08c7iEBT+A//tQ9awWuaw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paPEAAAA3AAAAA8AAAAAAAAAAAAAAAAAmAIAAGRycy9k&#10;b3ducmV2LnhtbFBLBQYAAAAABAAEAPUAAACJAwAAAAA=&#10;" strokecolor="black [3213]" strokeweight="2.25pt">
                  <v:textbox>
                    <w:txbxContent>
                      <w:p w:rsidR="00631C6A" w:rsidRDefault="00631C6A" w:rsidP="00631C6A">
                        <w:pPr>
                          <w:rPr>
                            <w:rFonts w:eastAsia="Times New Roman"/>
                          </w:rPr>
                        </w:pPr>
                      </w:p>
                    </w:txbxContent>
                  </v:textbox>
                </v:line>
                <v:line id="Line 143" o:spid="_x0000_s1434" style="position:absolute;flip:x;visibility:visible;mso-wrap-style:square;v-text-anchor:top" from="3921,9931" to="3941,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v5cYA&#10;AADcAAAADwAAAGRycy9kb3ducmV2LnhtbESPzU7DMBCE70h9B2sr9Uad/ghQqFuFINTeKGkv3JZ4&#10;iSPidRSb1Lw9roTEcTQz32g2u2g7MdLgW8cKFvMMBHHtdMuNgvPp5fYBhA/IGjvHpOCHPOy2k5sN&#10;5tpd+I3GKjQiQdjnqMCE0OdS+tqQRT93PXHyPt1gMSQ5NFIPeElw28lllt1Jiy2nBYM9lYbqr+rb&#10;KhiL16wsP/bnp6KKcTy+n5Yr86zUbBqLRxCBYvgP/7UPWsF6cQ/XM+k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v5cYAAADcAAAADwAAAAAAAAAAAAAAAACYAgAAZHJz&#10;L2Rvd25yZXYueG1sUEsFBgAAAAAEAAQA9QAAAIsDAAAAAA==&#10;" strokecolor="black [3213]">
                  <v:stroke dashstyle="dash"/>
                  <v:textbox>
                    <w:txbxContent>
                      <w:p w:rsidR="00631C6A" w:rsidRDefault="00631C6A" w:rsidP="00631C6A">
                        <w:pPr>
                          <w:rPr>
                            <w:rFonts w:eastAsia="Times New Roman"/>
                          </w:rPr>
                        </w:pPr>
                      </w:p>
                    </w:txbxContent>
                  </v:textbox>
                </v:line>
                <v:line id="Line 144" o:spid="_x0000_s1435" style="position:absolute;flip:y;visibility:visible;mso-wrap-style:square;v-text-anchor:top" from="3921,9901" to="3921,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7l8IA&#10;AADcAAAADwAAAGRycy9kb3ducmV2LnhtbERPPW/CMBDdK/EfrENiKw5QVVXAoDRV1W6UwNLtiI84&#10;Ij5HsRvcf4+HSh2f3vdmF20nRhp861jBYp6BIK6dbrlRcDq+P76A8AFZY+eYFPySh9128rDBXLsb&#10;H2isQiNSCPscFZgQ+lxKXxuy6OeuJ07cxQ0WQ4JDI/WAtxRuO7nMsmdpseXUYLCn0lB9rX6sgrHY&#10;Z2V5/ji9FlWM49f3cbkyb0rNprFYgwgUw7/4z/2pFTwt0tp0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fuXwgAAANwAAAAPAAAAAAAAAAAAAAAAAJgCAABkcnMvZG93&#10;bnJldi54bWxQSwUGAAAAAAQABAD1AAAAhwMAAAAA&#10;" strokecolor="black [3213]">
                  <v:stroke dashstyle="dash"/>
                  <v:textbox>
                    <w:txbxContent>
                      <w:p w:rsidR="00631C6A" w:rsidRDefault="00631C6A" w:rsidP="00631C6A">
                        <w:pPr>
                          <w:rPr>
                            <w:rFonts w:eastAsia="Times New Roman"/>
                          </w:rPr>
                        </w:pPr>
                      </w:p>
                    </w:txbxContent>
                  </v:textbox>
                </v:line>
                <v:line id="Line 145" o:spid="_x0000_s1436" style="position:absolute;visibility:visible;mso-wrap-style:square;v-text-anchor:top" from="3921,9901" to="392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jc8MA&#10;AADcAAAADwAAAGRycy9kb3ducmV2LnhtbESPQYvCMBSE74L/ITzBm6aKiNamIkphQTxsXff8aJ5t&#10;tXkpTVbrvzcLC3scZuYbJtn2phEP6lxtWcFsGoEgLqyuuVTwdc4mKxDOI2tsLJOCFznYpsNBgrG2&#10;T/6kR+5LESDsYlRQed/GUrqiIoNualvi4F1tZ9AH2ZVSd/gMcNPIeRQtpcGaw0KFLe0rKu75j1Fw&#10;dsfDaX3JlzZzfl+vLt/Z/WaUGo/63QaEp97/h//aH1rBYraG3zPhCMj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jc8MAAADcAAAADwAAAAAAAAAAAAAAAACYAgAAZHJzL2Rv&#10;d25yZXYueG1sUEsFBgAAAAAEAAQA9QAAAIgDAAAAAA==&#10;" strokecolor="black [3213]">
                  <v:stroke dashstyle="dash"/>
                  <v:textbox>
                    <w:txbxContent>
                      <w:p w:rsidR="00631C6A" w:rsidRDefault="00631C6A" w:rsidP="00631C6A">
                        <w:pPr>
                          <w:rPr>
                            <w:rFonts w:eastAsia="Times New Roman"/>
                          </w:rPr>
                        </w:pPr>
                      </w:p>
                    </w:txbxContent>
                  </v:textbox>
                </v:line>
                <v:line id="Line 146" o:spid="_x0000_s1437" style="position:absolute;visibility:visible;mso-wrap-style:square;v-text-anchor:top" from="3935,9901" to="3937,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AU8IA&#10;AADcAAAADwAAAGRycy9kb3ducmV2LnhtbERPTWuDQBC9F/Iflgn01qwJQax1DSFFCJQcapqeB3ei&#10;Ju6suFu1/757CPT4eN/ZbjadGGlwrWUF61UEgriyuuVawde5eElAOI+ssbNMCn7JwS5fPGWYajvx&#10;J42lr0UIYZeigsb7PpXSVQ0ZdCvbEwfuageDPsChlnrAKYSbTm6iKJYGWw4NDfZ0aKi6lz9Gwdl9&#10;vJ9eL2VsC+cPbXL5Lu43o9Tzct6/gfA0+3/xw33UCrabMD+cCU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kBTwgAAANwAAAAPAAAAAAAAAAAAAAAAAJgCAABkcnMvZG93&#10;bnJldi54bWxQSwUGAAAAAAQABAD1AAAAhwMAAAAA&#10;" strokecolor="black [3213]">
                  <v:stroke dashstyle="dash"/>
                  <v:textbox>
                    <w:txbxContent>
                      <w:p w:rsidR="00631C6A" w:rsidRDefault="00631C6A" w:rsidP="00631C6A">
                        <w:pPr>
                          <w:rPr>
                            <w:rFonts w:eastAsia="Times New Roman"/>
                          </w:rPr>
                        </w:pPr>
                      </w:p>
                    </w:txbxContent>
                  </v:textbox>
                </v:line>
                <v:line id="Line 147" o:spid="_x0000_s1438" style="position:absolute;visibility:visible;mso-wrap-style:square;v-text-anchor:top" from="3946,9901" to="3948,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lyMMA&#10;AADcAAAADwAAAGRycy9kb3ducmV2LnhtbESPQYvCMBSE74L/ITzBm6aKiFtNiyiFhcWDdfX8aJ5t&#10;tXkpTVa7/94IC3scZuYbZpP2phEP6lxtWcFsGoEgLqyuuVTwfcomKxDOI2tsLJOCX3KQJsPBBmNt&#10;n3ykR+5LESDsYlRQed/GUrqiIoNualvi4F1tZ9AH2ZVSd/gMcNPIeRQtpcGaw0KFLe0qKu75j1Fw&#10;cl/7w8c5X9rM+V29Ol+y+80oNR712zUIT73/D/+1P7WCxXwG7zPhCM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7lyMMAAADcAAAADwAAAAAAAAAAAAAAAACYAgAAZHJzL2Rv&#10;d25yZXYueG1sUEsFBgAAAAAEAAQA9QAAAIgDAAAAAA==&#10;" strokecolor="black [3213]">
                  <v:stroke dashstyle="dash"/>
                  <v:textbox>
                    <w:txbxContent>
                      <w:p w:rsidR="00631C6A" w:rsidRDefault="00631C6A" w:rsidP="00631C6A">
                        <w:pPr>
                          <w:rPr>
                            <w:rFonts w:eastAsia="Times New Roman"/>
                          </w:rPr>
                        </w:pPr>
                      </w:p>
                    </w:txbxContent>
                  </v:textbox>
                </v:line>
                <v:line id="Line 148" o:spid="_x0000_s1439" style="position:absolute;visibility:visible;mso-wrap-style:square;v-text-anchor:top" from="3956,9901" to="3957,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7v8MA&#10;AADcAAAADwAAAGRycy9kb3ducmV2LnhtbESPQYvCMBSE78L+h/CEvWlqWcStRhGXgiAettU9P5pn&#10;W21eShO1/nuzIHgcZuYbZrHqTSNu1LnasoLJOAJBXFhdc6ngkKejGQjnkTU2lknBgxyslh+DBSba&#10;3vmXbpkvRYCwS1BB5X2bSOmKigy6sW2Jg3eynUEfZFdK3eE9wE0j4yiaSoM1h4UKW9pUVFyyq1GQ&#10;u93P/vuYTW3q/KaeHf/Sy9ko9Tns13MQnnr/Dr/aW63gK47h/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x7v8MAAADcAAAADwAAAAAAAAAAAAAAAACYAgAAZHJzL2Rv&#10;d25yZXYueG1sUEsFBgAAAAAEAAQA9QAAAIgDAAAAAA==&#10;" strokecolor="black [3213]">
                  <v:stroke dashstyle="dash"/>
                  <v:textbox>
                    <w:txbxContent>
                      <w:p w:rsidR="00631C6A" w:rsidRDefault="00631C6A" w:rsidP="00631C6A">
                        <w:pPr>
                          <w:rPr>
                            <w:rFonts w:eastAsia="Times New Roman"/>
                          </w:rPr>
                        </w:pPr>
                      </w:p>
                    </w:txbxContent>
                  </v:textbox>
                </v:line>
                <v:line id="Line 149" o:spid="_x0000_s1440" style="position:absolute;visibility:visible;mso-wrap-style:square;v-text-anchor:top" from="3965,9901" to="3975,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eJMUA&#10;AADcAAAADwAAAGRycy9kb3ducmV2LnhtbESPQWvCQBSE70L/w/IKvZlNtUiauopEAoXSg4n2/Mi+&#10;JqnZtyG7xvTfdwuCx2FmvmHW28l0YqTBtZYVPEcxCOLK6pZrBccynycgnEfW2FkmBb/kYLt5mK0x&#10;1fbKBxoLX4sAYZeigsb7PpXSVQ0ZdJHtiYP3bQeDPsihlnrAa4CbTi7ieCUNthwWGuwpa6g6Fxej&#10;oHQf+8/XU7GyufNZm5y+8vOPUerpcdq9gfA0+Xv41n7XCl4WS/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N4kxQAAANwAAAAPAAAAAAAAAAAAAAAAAJgCAABkcnMv&#10;ZG93bnJldi54bWxQSwUGAAAAAAQABAD1AAAAigMAAAAA&#10;" strokecolor="black [3213]">
                  <v:stroke dashstyle="dash"/>
                  <v:textbox>
                    <w:txbxContent>
                      <w:p w:rsidR="00631C6A" w:rsidRDefault="00631C6A" w:rsidP="00631C6A">
                        <w:pPr>
                          <w:rPr>
                            <w:rFonts w:eastAsia="Times New Roman"/>
                          </w:rPr>
                        </w:pPr>
                      </w:p>
                    </w:txbxContent>
                  </v:textbox>
                </v:line>
                <v:line id="Line 150" o:spid="_x0000_s1441" style="position:absolute;visibility:visible;mso-wrap-style:square;v-text-anchor:top" from="3975,9901" to="397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GUMMA&#10;AADcAAAADwAAAGRycy9kb3ducmV2LnhtbESPzarCMBSE9xd8h3AEd9dUEdFqFFEKgtyF9Wd9aI5t&#10;tTkpTdT69jeC4HKYmW+Y+bI1lXhQ40rLCgb9CARxZnXJuYLjIfmdgHAeWWNlmRS8yMFy0fmZY6zt&#10;k/f0SH0uAoRdjAoK7+tYSpcVZND1bU0cvIttDPogm1zqBp8Bbio5jKKxNFhyWCiwpnVB2S29GwUH&#10;t9v8TU/p2CbOr8vJ6ZzcrkapXrddzUB4av03/GlvtYLRcAT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GUMMAAADcAAAADwAAAAAAAAAAAAAAAACYAgAAZHJzL2Rv&#10;d25yZXYueG1sUEsFBgAAAAAEAAQA9QAAAIgDAAAAAA==&#10;" strokecolor="black [3213]">
                  <v:stroke dashstyle="dash"/>
                  <v:textbox>
                    <w:txbxContent>
                      <w:p w:rsidR="00631C6A" w:rsidRDefault="00631C6A" w:rsidP="00631C6A">
                        <w:pPr>
                          <w:rPr>
                            <w:rFonts w:eastAsia="Times New Roman"/>
                          </w:rPr>
                        </w:pPr>
                      </w:p>
                    </w:txbxContent>
                  </v:textbox>
                </v:line>
                <v:line id="Line 151" o:spid="_x0000_s1442" style="position:absolute;visibility:visible;mso-wrap-style:square;v-text-anchor:top" from="3954,9931" to="397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jy8UA&#10;AADcAAAADwAAAGRycy9kb3ducmV2LnhtbESPQWvCQBSE70L/w/IKvZlNxUqauopEAoXSg4n2/Mi+&#10;JqnZtyG7xvTfdwuCx2FmvmHW28l0YqTBtZYVPEcxCOLK6pZrBccynycgnEfW2FkmBb/kYLt5mK0x&#10;1fbKBxoLX4sAYZeigsb7PpXSVQ0ZdJHtiYP3bQeDPsihlnrAa4CbTi7ieCUNthwWGuwpa6g6Fxej&#10;oHQf+8/XU7GyufNZm5y+8vOPUerpcdq9gfA0+Xv41n7XCpaLF/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ePLxQAAANwAAAAPAAAAAAAAAAAAAAAAAJgCAABkcnMv&#10;ZG93bnJldi54bWxQSwUGAAAAAAQABAD1AAAAigMAAAAA&#10;" strokecolor="black [3213]">
                  <v:stroke dashstyle="dash"/>
                  <v:textbox>
                    <w:txbxContent>
                      <w:p w:rsidR="00631C6A" w:rsidRDefault="00631C6A" w:rsidP="00631C6A">
                        <w:pPr>
                          <w:rPr>
                            <w:rFonts w:eastAsia="Times New Roman"/>
                          </w:rPr>
                        </w:pPr>
                      </w:p>
                    </w:txbxContent>
                  </v:textbox>
                </v:line>
                <w10:anchorlock/>
              </v:group>
            </w:pict>
          </mc:Fallback>
        </mc:AlternateContent>
      </w:r>
    </w:p>
    <w:p w:rsidR="00E25949" w:rsidRDefault="00E25949" w:rsidP="00E25949">
      <w:pPr>
        <w:jc w:val="both"/>
        <w:rPr>
          <w:rFonts w:ascii="Times New Roman" w:hAnsi="Times New Roman"/>
          <w:color w:val="000000"/>
        </w:rPr>
      </w:pPr>
    </w:p>
    <w:p w:rsidR="00E25949" w:rsidRDefault="00E25949" w:rsidP="00E25949">
      <w:pPr>
        <w:jc w:val="both"/>
        <w:rPr>
          <w:rFonts w:ascii="Times New Roman" w:eastAsia="Times New Roman" w:hAnsi="Times New Roman" w:cs="Times New Roman"/>
          <w:color w:val="000000"/>
        </w:rPr>
      </w:pPr>
      <w:r w:rsidRPr="008566FD">
        <w:rPr>
          <w:rFonts w:ascii="Times New Roman" w:hAnsi="Times New Roman"/>
          <w:color w:val="000000"/>
        </w:rPr>
        <w:t xml:space="preserve">El Plan Sectorial se ejecuta por parte de esta estructura administrativa y el recurso humano vinculado, mediante diversos instrumentos que conforman una secuencia del proceso de la gestión. La </w:t>
      </w:r>
      <w:r w:rsidRPr="008566FD">
        <w:rPr>
          <w:rFonts w:ascii="Times New Roman" w:eastAsia="Times New Roman" w:hAnsi="Times New Roman" w:cs="Times New Roman"/>
          <w:color w:val="000000"/>
        </w:rPr>
        <w:t xml:space="preserve">Resolución 174 del 28 de enero de 2010, por la cual se establecen orientaciones para la programación, ejecución, seguimiento y socialización </w:t>
      </w:r>
      <w:r>
        <w:rPr>
          <w:rFonts w:ascii="Times New Roman" w:eastAsia="Times New Roman" w:hAnsi="Times New Roman" w:cs="Times New Roman"/>
          <w:color w:val="000000"/>
        </w:rPr>
        <w:t xml:space="preserve">de </w:t>
      </w:r>
      <w:r w:rsidRPr="008566FD">
        <w:rPr>
          <w:rFonts w:ascii="Times New Roman" w:eastAsia="Times New Roman" w:hAnsi="Times New Roman" w:cs="Times New Roman"/>
          <w:color w:val="000000"/>
        </w:rPr>
        <w:t>resultados del Plan Operativo Anual de los colegios oficiales, las Direcciones Locales de educación y las dependenc</w:t>
      </w:r>
      <w:r>
        <w:rPr>
          <w:rFonts w:ascii="Times New Roman" w:eastAsia="Times New Roman" w:hAnsi="Times New Roman" w:cs="Times New Roman"/>
          <w:color w:val="000000"/>
        </w:rPr>
        <w:t>ias del nivel central de la SED</w:t>
      </w:r>
      <w:r w:rsidRPr="008566FD">
        <w:rPr>
          <w:rFonts w:ascii="Times New Roman" w:eastAsia="Times New Roman" w:hAnsi="Times New Roman" w:cs="Times New Roman"/>
          <w:color w:val="000000"/>
        </w:rPr>
        <w:t>, establece en su artículo primero al Plan Operativo Anual –POA en los niveles central, local e institucional de la SED, como la herramienta fundamental para planear y programar las actividades estratégicas de cada vigencia</w:t>
      </w:r>
      <w:r>
        <w:rPr>
          <w:rFonts w:ascii="Times New Roman" w:eastAsia="Times New Roman" w:hAnsi="Times New Roman" w:cs="Times New Roman"/>
          <w:color w:val="000000"/>
        </w:rPr>
        <w:t>,</w:t>
      </w:r>
      <w:r w:rsidRPr="008566FD">
        <w:rPr>
          <w:rFonts w:ascii="Times New Roman" w:eastAsia="Times New Roman" w:hAnsi="Times New Roman" w:cs="Times New Roman"/>
          <w:color w:val="000000"/>
        </w:rPr>
        <w:t xml:space="preserve"> necesarias para el cumplimiento de la política y de los objetivos establecidos en el Plan de Desarrollo Distrital, </w:t>
      </w:r>
      <w:r>
        <w:rPr>
          <w:rFonts w:ascii="Times New Roman" w:eastAsia="Times New Roman" w:hAnsi="Times New Roman" w:cs="Times New Roman"/>
          <w:color w:val="000000"/>
        </w:rPr>
        <w:t>e</w:t>
      </w:r>
      <w:r w:rsidRPr="008566FD">
        <w:rPr>
          <w:rFonts w:ascii="Times New Roman" w:eastAsia="Times New Roman" w:hAnsi="Times New Roman" w:cs="Times New Roman"/>
          <w:color w:val="000000"/>
        </w:rPr>
        <w:t xml:space="preserve">l Plan Sectorial de Educación, </w:t>
      </w:r>
      <w:r>
        <w:rPr>
          <w:rFonts w:ascii="Times New Roman" w:eastAsia="Times New Roman" w:hAnsi="Times New Roman" w:cs="Times New Roman"/>
          <w:color w:val="000000"/>
        </w:rPr>
        <w:t>e</w:t>
      </w:r>
      <w:r w:rsidRPr="008566FD">
        <w:rPr>
          <w:rFonts w:ascii="Times New Roman" w:eastAsia="Times New Roman" w:hAnsi="Times New Roman" w:cs="Times New Roman"/>
          <w:color w:val="000000"/>
        </w:rPr>
        <w:t>l Plan Educativo Local y el Proyecto Educativo Institucional.</w:t>
      </w:r>
    </w:p>
    <w:p w:rsidR="00E25949" w:rsidRDefault="00E25949" w:rsidP="00E25949">
      <w:pPr>
        <w:jc w:val="both"/>
        <w:rPr>
          <w:rFonts w:ascii="Times New Roman" w:eastAsia="Times New Roman" w:hAnsi="Times New Roman" w:cs="Times New Roman"/>
          <w:color w:val="000000"/>
        </w:rPr>
      </w:pPr>
    </w:p>
    <w:p w:rsidR="00E25949" w:rsidRPr="00BB3662" w:rsidRDefault="00E25949" w:rsidP="00E25949">
      <w:pPr>
        <w:jc w:val="both"/>
        <w:rPr>
          <w:rFonts w:ascii="Times New Roman" w:hAnsi="Times New Roman"/>
          <w:color w:val="000000"/>
        </w:rPr>
      </w:pPr>
      <w:r>
        <w:rPr>
          <w:rFonts w:ascii="Times New Roman" w:eastAsia="Times New Roman" w:hAnsi="Times New Roman" w:cs="Times New Roman"/>
          <w:color w:val="000000"/>
        </w:rPr>
        <w:lastRenderedPageBreak/>
        <w:t xml:space="preserve">El POA debe ser elaborado por cada una de las direcciones de la Secretaría y es consolidado por la Oficina Asesora de Planeación; dentro del POA se deben articular tanto las acciones a realizar con los recursos de funcionamiento como con los recursos de inversión programados en los proyectos de inversión cuando sea el caso. Los proyectos de inversión son instrumentos obligatorios para la planeación técnica de la inversión y además un requisito para la incorporación de los recursos al presupuesto anual de la entidad. </w:t>
      </w:r>
      <w:r w:rsidRPr="00BB3662">
        <w:rPr>
          <w:rFonts w:ascii="Times New Roman" w:hAnsi="Times New Roman"/>
          <w:color w:val="000000"/>
        </w:rPr>
        <w:t>En su conjunto estos instrumentos aportan a la ejecución del Plan Sectorial de Educación y estos a su vez al Plan de Desarrollo Distrital, el cual es objeto de seguimiento mediante el SEGPLAN</w:t>
      </w:r>
      <w:r w:rsidRPr="00BB3662">
        <w:rPr>
          <w:rStyle w:val="Refdenotaalpie"/>
          <w:rFonts w:ascii="Times New Roman" w:hAnsi="Times New Roman"/>
          <w:color w:val="000000"/>
        </w:rPr>
        <w:footnoteReference w:id="95"/>
      </w:r>
      <w:r w:rsidRPr="00BB3662">
        <w:rPr>
          <w:rFonts w:ascii="Times New Roman" w:hAnsi="Times New Roman"/>
          <w:color w:val="000000"/>
        </w:rPr>
        <w:t>, coordinado por la Secretaría de Planeación Distrital.</w:t>
      </w:r>
    </w:p>
    <w:p w:rsidR="00E25949" w:rsidRDefault="00E25949" w:rsidP="00E25949"/>
    <w:p w:rsidR="00E25949" w:rsidRPr="00DA24E3" w:rsidRDefault="00E25949" w:rsidP="00E25949">
      <w:pPr>
        <w:rPr>
          <w:rFonts w:ascii="Times New Roman" w:hAnsi="Times New Roman"/>
        </w:rPr>
      </w:pPr>
      <w:r w:rsidRPr="00491CDE">
        <w:rPr>
          <w:rFonts w:ascii="Times New Roman" w:hAnsi="Times New Roman"/>
        </w:rPr>
        <w:t>Territorialización de la inversión y gestión de las localidades</w:t>
      </w:r>
    </w:p>
    <w:p w:rsidR="00E25949" w:rsidRPr="00BA20B4" w:rsidRDefault="00E25949" w:rsidP="00E25949">
      <w:pPr>
        <w:rPr>
          <w:rFonts w:ascii="Times New Roman" w:hAnsi="Times New Roman"/>
        </w:rPr>
      </w:pPr>
    </w:p>
    <w:p w:rsidR="00E25949" w:rsidRDefault="00E25949" w:rsidP="00E25949">
      <w:pPr>
        <w:jc w:val="both"/>
        <w:rPr>
          <w:rFonts w:ascii="Times New Roman" w:hAnsi="Times New Roman"/>
        </w:rPr>
      </w:pPr>
      <w:r w:rsidRPr="00BA20B4">
        <w:rPr>
          <w:rFonts w:ascii="Times New Roman" w:hAnsi="Times New Roman"/>
        </w:rPr>
        <w:t>La territorialización</w:t>
      </w:r>
      <w:r w:rsidRPr="00BA20B4">
        <w:rPr>
          <w:rStyle w:val="Refdenotaalpie"/>
          <w:rFonts w:ascii="Times New Roman" w:hAnsi="Times New Roman"/>
          <w:color w:val="000000"/>
        </w:rPr>
        <w:footnoteReference w:id="96"/>
      </w:r>
      <w:r w:rsidRPr="00BA20B4">
        <w:rPr>
          <w:rFonts w:ascii="Times New Roman" w:hAnsi="Times New Roman"/>
        </w:rPr>
        <w:t>de la gestión y de la inversión es el ejercicio de precisar la actuación de las entidades del sector en cada una de las localidades del Distrito.</w:t>
      </w:r>
      <w:r w:rsidR="00400151">
        <w:rPr>
          <w:rFonts w:ascii="Times New Roman" w:hAnsi="Times New Roman"/>
        </w:rPr>
        <w:t xml:space="preserve"> </w:t>
      </w:r>
      <w:r w:rsidRPr="00BA20B4">
        <w:rPr>
          <w:rFonts w:ascii="Times New Roman" w:hAnsi="Times New Roman"/>
        </w:rPr>
        <w:t>Es ordenada normativamente por e</w:t>
      </w:r>
      <w:r>
        <w:rPr>
          <w:rFonts w:ascii="Times New Roman" w:hAnsi="Times New Roman"/>
        </w:rPr>
        <w:t>l Acuerdo 267 de 2006 y por el D</w:t>
      </w:r>
      <w:r w:rsidRPr="00BA20B4">
        <w:rPr>
          <w:rFonts w:ascii="Times New Roman" w:hAnsi="Times New Roman"/>
        </w:rPr>
        <w:t>ecreto 101 de 2010 y se concreta en documentos por localidad donde se precisan los objetivos, metas y acciones a ejecutar en cada uno de los territorios atendiendo a sus particularidades. Esta territorialización de la acción distrital es complementada por la gestión e inversión de cada una de las localidades con cargo a los recursos de los fondos de desarrollo local.</w:t>
      </w:r>
    </w:p>
    <w:p w:rsidR="00E25949" w:rsidRPr="00BA20B4" w:rsidRDefault="00E25949" w:rsidP="00E25949">
      <w:pPr>
        <w:rPr>
          <w:rFonts w:ascii="Times New Roman" w:hAnsi="Times New Roman"/>
        </w:rPr>
      </w:pPr>
    </w:p>
    <w:p w:rsidR="00E25949" w:rsidRPr="00BA20B4" w:rsidRDefault="00E25949" w:rsidP="00E25949">
      <w:pPr>
        <w:rPr>
          <w:rFonts w:ascii="Times New Roman" w:hAnsi="Times New Roman"/>
        </w:rPr>
      </w:pPr>
      <w:r w:rsidRPr="00BA20B4">
        <w:rPr>
          <w:rFonts w:ascii="Times New Roman" w:hAnsi="Times New Roman"/>
        </w:rPr>
        <w:t>Los objetivos, metas y acciones</w:t>
      </w:r>
      <w:r>
        <w:rPr>
          <w:rFonts w:ascii="Times New Roman" w:hAnsi="Times New Roman"/>
        </w:rPr>
        <w:t xml:space="preserve"> distritales</w:t>
      </w:r>
      <w:r w:rsidRPr="00BA20B4">
        <w:rPr>
          <w:rFonts w:ascii="Times New Roman" w:hAnsi="Times New Roman"/>
        </w:rPr>
        <w:t xml:space="preserve"> por localidades</w:t>
      </w:r>
      <w:r w:rsidR="00570C28">
        <w:rPr>
          <w:rFonts w:ascii="Times New Roman" w:hAnsi="Times New Roman"/>
        </w:rPr>
        <w:t xml:space="preserve"> y UPZ</w:t>
      </w:r>
    </w:p>
    <w:p w:rsidR="00E25949" w:rsidRPr="00BA20B4" w:rsidRDefault="00E25949" w:rsidP="00E25949">
      <w:pPr>
        <w:rPr>
          <w:rFonts w:ascii="Times New Roman" w:hAnsi="Times New Roman"/>
        </w:rPr>
      </w:pPr>
    </w:p>
    <w:p w:rsidR="00E25949" w:rsidRPr="00BA20B4" w:rsidRDefault="00E25949" w:rsidP="00E25949">
      <w:pPr>
        <w:jc w:val="both"/>
        <w:rPr>
          <w:rFonts w:ascii="Times New Roman" w:hAnsi="Times New Roman"/>
        </w:rPr>
      </w:pPr>
      <w:r w:rsidRPr="00BA20B4">
        <w:rPr>
          <w:rFonts w:ascii="Times New Roman" w:hAnsi="Times New Roman"/>
        </w:rPr>
        <w:t>Con la finalidad de reducir las desigualdades territoriales, el Plan Sectorial de Educación busca explícitamente intervenir en mayor proporción en aquellas localidades y UPZ donde se presentan mayores deficiencias en cuanto a la cobertura y a la calidad del servicio educativo. En cada una de las localidades se está formulando un plan educativo</w:t>
      </w:r>
      <w:r>
        <w:rPr>
          <w:rStyle w:val="Refdenotaalpie"/>
          <w:rFonts w:ascii="Times New Roman" w:hAnsi="Times New Roman"/>
        </w:rPr>
        <w:footnoteReference w:id="97"/>
      </w:r>
      <w:r w:rsidRPr="00BA20B4">
        <w:rPr>
          <w:rFonts w:ascii="Times New Roman" w:hAnsi="Times New Roman"/>
        </w:rPr>
        <w:t xml:space="preserve"> que concreta la intervención distrital</w:t>
      </w:r>
      <w:r>
        <w:rPr>
          <w:rFonts w:ascii="Times New Roman" w:hAnsi="Times New Roman"/>
        </w:rPr>
        <w:t>. Adicionalmente, cada una de las direcciones locales</w:t>
      </w:r>
      <w:r>
        <w:rPr>
          <w:rStyle w:val="Refdenotaalpie"/>
          <w:rFonts w:ascii="Times New Roman" w:hAnsi="Times New Roman"/>
        </w:rPr>
        <w:footnoteReference w:id="98"/>
      </w:r>
      <w:r>
        <w:rPr>
          <w:rFonts w:ascii="Times New Roman" w:hAnsi="Times New Roman"/>
        </w:rPr>
        <w:t xml:space="preserve"> de la Secretaría de Educación debe elaborar un plan operativo anual</w:t>
      </w:r>
      <w:r>
        <w:rPr>
          <w:rStyle w:val="Refdenotaalpie"/>
          <w:rFonts w:ascii="Times New Roman" w:hAnsi="Times New Roman"/>
        </w:rPr>
        <w:footnoteReference w:id="99"/>
      </w:r>
      <w:r>
        <w:rPr>
          <w:rFonts w:ascii="Times New Roman" w:hAnsi="Times New Roman"/>
        </w:rPr>
        <w:t xml:space="preserve"> mediante el cual precisa las acciones para alcanzar los objetivos de la política distrital.</w:t>
      </w:r>
    </w:p>
    <w:p w:rsidR="00E25949" w:rsidRPr="00BA20B4" w:rsidRDefault="00E25949" w:rsidP="00E25949">
      <w:pPr>
        <w:rPr>
          <w:rFonts w:ascii="Times New Roman" w:hAnsi="Times New Roman"/>
        </w:rPr>
      </w:pPr>
    </w:p>
    <w:p w:rsidR="00E25949" w:rsidRPr="00BA20B4" w:rsidRDefault="00E25949" w:rsidP="00E25949">
      <w:pPr>
        <w:rPr>
          <w:rFonts w:ascii="Times New Roman" w:hAnsi="Times New Roman"/>
        </w:rPr>
      </w:pPr>
      <w:r w:rsidRPr="00BA20B4">
        <w:rPr>
          <w:rFonts w:ascii="Times New Roman" w:hAnsi="Times New Roman"/>
        </w:rPr>
        <w:t>La gestión de las localidades</w:t>
      </w:r>
    </w:p>
    <w:p w:rsidR="00E25949" w:rsidRPr="00BA20B4" w:rsidRDefault="00E25949" w:rsidP="00E25949">
      <w:pPr>
        <w:rPr>
          <w:rFonts w:ascii="Times New Roman" w:hAnsi="Times New Roman"/>
        </w:rPr>
      </w:pPr>
    </w:p>
    <w:p w:rsidR="00E25949" w:rsidRPr="00BA20B4" w:rsidRDefault="00E25949" w:rsidP="00E25949">
      <w:pPr>
        <w:jc w:val="both"/>
        <w:rPr>
          <w:rFonts w:ascii="Times New Roman" w:hAnsi="Times New Roman"/>
        </w:rPr>
      </w:pPr>
      <w:r w:rsidRPr="00BA20B4">
        <w:rPr>
          <w:rFonts w:ascii="Times New Roman" w:hAnsi="Times New Roman"/>
        </w:rPr>
        <w:t>De acuerdo con los lineamientos de inversión expedidos por el CONFIS</w:t>
      </w:r>
      <w:r>
        <w:rPr>
          <w:rFonts w:ascii="Times New Roman" w:hAnsi="Times New Roman"/>
        </w:rPr>
        <w:t xml:space="preserve"> y la directiva No. 5 de julio de 2012 expedida por el Alcalde Mayor</w:t>
      </w:r>
      <w:r w:rsidRPr="00BA20B4">
        <w:rPr>
          <w:rFonts w:ascii="Times New Roman" w:hAnsi="Times New Roman"/>
        </w:rPr>
        <w:t xml:space="preserve">, las localidades pueden invertir en el sector educativo </w:t>
      </w:r>
      <w:r>
        <w:rPr>
          <w:rFonts w:ascii="Times New Roman" w:hAnsi="Times New Roman"/>
        </w:rPr>
        <w:t xml:space="preserve">y en la atención integral a la primera infancia. </w:t>
      </w:r>
      <w:r w:rsidRPr="00BA20B4">
        <w:rPr>
          <w:rFonts w:ascii="Times New Roman" w:hAnsi="Times New Roman"/>
        </w:rPr>
        <w:t>Las localidades aprobaron</w:t>
      </w:r>
      <w:r>
        <w:rPr>
          <w:rFonts w:ascii="Times New Roman" w:hAnsi="Times New Roman"/>
        </w:rPr>
        <w:t xml:space="preserve"> en este año</w:t>
      </w:r>
      <w:r w:rsidRPr="00BA20B4">
        <w:rPr>
          <w:rFonts w:ascii="Times New Roman" w:hAnsi="Times New Roman"/>
        </w:rPr>
        <w:t xml:space="preserve"> sus planes de desarrollo dentro de los cuales incorporaron recursos para el sector</w:t>
      </w:r>
      <w:r>
        <w:rPr>
          <w:rFonts w:ascii="Times New Roman" w:hAnsi="Times New Roman"/>
        </w:rPr>
        <w:t xml:space="preserve">. </w:t>
      </w:r>
    </w:p>
    <w:p w:rsidR="00E25949" w:rsidRDefault="00E25949" w:rsidP="00E25949"/>
    <w:p w:rsidR="00E25949" w:rsidRPr="003764AA" w:rsidRDefault="00E25949" w:rsidP="00E25949">
      <w:pPr>
        <w:rPr>
          <w:rFonts w:ascii="Times New Roman" w:hAnsi="Times New Roman"/>
        </w:rPr>
      </w:pPr>
      <w:r w:rsidRPr="003764AA">
        <w:rPr>
          <w:rFonts w:ascii="Times New Roman" w:hAnsi="Times New Roman"/>
        </w:rPr>
        <w:t>La gestión en los establecimientos educativos</w:t>
      </w:r>
    </w:p>
    <w:p w:rsidR="00E25949" w:rsidRPr="00BA20B4" w:rsidRDefault="00E25949" w:rsidP="00E25949">
      <w:pPr>
        <w:jc w:val="both"/>
        <w:rPr>
          <w:rFonts w:ascii="Times New Roman" w:hAnsi="Times New Roman"/>
        </w:rPr>
      </w:pPr>
    </w:p>
    <w:p w:rsidR="00E25949" w:rsidRDefault="00E25949" w:rsidP="00E25949">
      <w:pPr>
        <w:jc w:val="both"/>
        <w:rPr>
          <w:rFonts w:ascii="Times New Roman" w:hAnsi="Times New Roman"/>
        </w:rPr>
      </w:pPr>
      <w:r w:rsidRPr="00BA20B4">
        <w:rPr>
          <w:rFonts w:ascii="Times New Roman" w:hAnsi="Times New Roman"/>
        </w:rPr>
        <w:t>La gestión del sector educativo se materializa en el funcionamiento de 359 colegios con 700 sedes, cada uno con una estructura propia de gobierno y administración, con proyectos educativos institucionales y planes de mejoramiento. Los objetivos y metas de ciudad en materia de cobertura y de mejoramiento de la calidad se concretan</w:t>
      </w:r>
      <w:r w:rsidR="00400151">
        <w:rPr>
          <w:rFonts w:ascii="Times New Roman" w:hAnsi="Times New Roman"/>
        </w:rPr>
        <w:t xml:space="preserve"> </w:t>
      </w:r>
      <w:r w:rsidRPr="00BA20B4">
        <w:rPr>
          <w:rFonts w:ascii="Times New Roman" w:hAnsi="Times New Roman"/>
        </w:rPr>
        <w:t xml:space="preserve">en objetivos específicos en cada uno de los colegios, de forma tal que el desempeño de cada uno de ellos contribuye al logro de las metas del plan distrital de desarrollo. </w:t>
      </w:r>
    </w:p>
    <w:p w:rsidR="00E25949" w:rsidRDefault="00E25949" w:rsidP="00E25949">
      <w:pPr>
        <w:jc w:val="both"/>
        <w:rPr>
          <w:rFonts w:ascii="Times New Roman" w:hAnsi="Times New Roman"/>
        </w:rPr>
      </w:pPr>
    </w:p>
    <w:p w:rsidR="00E25949" w:rsidRDefault="00E25949" w:rsidP="00E25949">
      <w:pPr>
        <w:rPr>
          <w:rFonts w:ascii="Times New Roman" w:hAnsi="Times New Roman"/>
        </w:rPr>
      </w:pPr>
      <w:r>
        <w:rPr>
          <w:rFonts w:ascii="Times New Roman" w:hAnsi="Times New Roman"/>
        </w:rPr>
        <w:t xml:space="preserve">Los colegios tienen como instrumentos de planificación el proyecto educativo institucional </w:t>
      </w:r>
    </w:p>
    <w:p w:rsidR="00E25949" w:rsidRDefault="00E25949" w:rsidP="00E25949">
      <w:pPr>
        <w:jc w:val="both"/>
        <w:rPr>
          <w:rFonts w:ascii="Times New Roman" w:hAnsi="Times New Roman"/>
        </w:rPr>
      </w:pPr>
      <w:r>
        <w:rPr>
          <w:rFonts w:ascii="Times New Roman" w:hAnsi="Times New Roman"/>
        </w:rPr>
        <w:t>(PEI) y el plan de mejoramiento. El PEI es ordenado por la Ley 115 de 1994 y tiene como propósito lograr la formación integral de los estudiantes.</w:t>
      </w:r>
    </w:p>
    <w:p w:rsidR="00E25949" w:rsidRDefault="00E25949" w:rsidP="00E25949">
      <w:pPr>
        <w:rPr>
          <w:rFonts w:ascii="Times New Roman" w:hAnsi="Times New Roman"/>
        </w:rPr>
      </w:pPr>
    </w:p>
    <w:p w:rsidR="00E25949" w:rsidRPr="000114DE" w:rsidRDefault="00E25949" w:rsidP="00E25949">
      <w:pPr>
        <w:ind w:left="708"/>
        <w:jc w:val="both"/>
        <w:rPr>
          <w:rFonts w:ascii="Times New Roman" w:eastAsia="Times New Roman" w:hAnsi="Times New Roman" w:cs="Arial"/>
          <w:lang w:eastAsia="es-CO"/>
        </w:rPr>
      </w:pPr>
      <w:r w:rsidRPr="000114DE">
        <w:rPr>
          <w:rFonts w:ascii="Times New Roman" w:eastAsia="Times New Roman" w:hAnsi="Times New Roman" w:cs="Arial"/>
          <w:lang w:eastAsia="es-CO"/>
        </w:rPr>
        <w:t xml:space="preserve">ARTÍCULO 73. PROYECTO EDUCATIVO INSTITUCIONAL. Con el fin de lograr la formación integral del educando, cada establecimiento educativo deberá elaborar y poner en práctica un Proyecto Educativo Institucional en el que se especifiquen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sus reglamentos. </w:t>
      </w:r>
    </w:p>
    <w:p w:rsidR="00E25949" w:rsidRPr="00BA20B4" w:rsidRDefault="00E25949" w:rsidP="00E25949">
      <w:pPr>
        <w:jc w:val="both"/>
        <w:rPr>
          <w:rFonts w:ascii="Times New Roman" w:hAnsi="Times New Roman"/>
        </w:rPr>
      </w:pPr>
    </w:p>
    <w:p w:rsidR="00E25949" w:rsidRDefault="00E25949" w:rsidP="00E25949">
      <w:pPr>
        <w:jc w:val="both"/>
        <w:rPr>
          <w:rFonts w:ascii="Times New Roman" w:hAnsi="Times New Roman"/>
        </w:rPr>
      </w:pPr>
      <w:r>
        <w:rPr>
          <w:rFonts w:ascii="Times New Roman" w:hAnsi="Times New Roman"/>
        </w:rPr>
        <w:t>El contenido detallado del PEI lo establece el Artículo 14 del Decreto 1860 de 1994. Adicionalmente, la SED mediante Resolución 743 de 2011, estableció los planes de mejoramiento</w:t>
      </w:r>
      <w:r>
        <w:rPr>
          <w:rStyle w:val="Refdenotaalpie"/>
          <w:rFonts w:ascii="Times New Roman" w:hAnsi="Times New Roman"/>
        </w:rPr>
        <w:footnoteReference w:id="100"/>
      </w:r>
      <w:r>
        <w:rPr>
          <w:rFonts w:ascii="Times New Roman" w:hAnsi="Times New Roman"/>
        </w:rPr>
        <w:t xml:space="preserve"> de las instituciones educativas, entendidos como el conjunto de actividades orientadas a superar las debilidades detectadas durante el proceso de evaluación del aprendizaje de los estudiantes. Con base en lo anterior, en cada uno de los colegios distritales debe formularse y ejecutarse un plan operativo anual mediante el cual se concretan las políticas distritales.</w:t>
      </w:r>
      <w:r>
        <w:rPr>
          <w:rStyle w:val="Refdenotaalpie"/>
          <w:rFonts w:ascii="Times New Roman" w:hAnsi="Times New Roman"/>
        </w:rPr>
        <w:footnoteReference w:id="101"/>
      </w:r>
    </w:p>
    <w:p w:rsidR="00E25949" w:rsidRDefault="00E25949" w:rsidP="00E25949">
      <w:pPr>
        <w:jc w:val="both"/>
        <w:rPr>
          <w:rFonts w:ascii="Times New Roman" w:hAnsi="Times New Roman"/>
        </w:rPr>
      </w:pPr>
    </w:p>
    <w:p w:rsidR="00E25949" w:rsidRPr="003342B6" w:rsidRDefault="00E25949" w:rsidP="00E25949">
      <w:pPr>
        <w:jc w:val="both"/>
        <w:rPr>
          <w:rFonts w:ascii="Times New Roman" w:hAnsi="Times New Roman"/>
        </w:rPr>
      </w:pPr>
      <w:r w:rsidRPr="003342B6">
        <w:rPr>
          <w:rFonts w:ascii="Times New Roman" w:hAnsi="Times New Roman"/>
        </w:rPr>
        <w:lastRenderedPageBreak/>
        <w:t>El papel de los rectores es fundamental para poner en práctica los instrumentos de planeación en cada colegio para lo cual se recomienda: “</w:t>
      </w:r>
      <w:r w:rsidRPr="003342B6">
        <w:rPr>
          <w:rFonts w:ascii="Times New Roman" w:eastAsiaTheme="minorHAnsi" w:hAnsi="Times New Roman" w:cs="Helvetica"/>
          <w:color w:val="000000"/>
          <w:sz w:val="23"/>
          <w:szCs w:val="23"/>
          <w:lang w:eastAsia="en-US"/>
        </w:rPr>
        <w:t>Una vez interpretados y analizados los resultados, es posible puntualizar las causas de las situaciones problema y plantear soluciones. Se pueden diseñar estrategias para potenciar las fortalezas y definir acciones concretas de trabajo a través de un plan que pueda ser llevado a la práctica. Para ello son excelentes herramientas el Plan Operativo Anual – POA- y los planes de mejoramiento. En su construcción y ejecución se debe comprometer a todos los miembros de la comunidad educativa</w:t>
      </w:r>
      <w:r>
        <w:rPr>
          <w:rFonts w:ascii="Times New Roman" w:eastAsiaTheme="minorHAnsi" w:hAnsi="Times New Roman" w:cs="Helvetica"/>
          <w:color w:val="000000"/>
          <w:sz w:val="23"/>
          <w:szCs w:val="23"/>
          <w:lang w:eastAsia="en-US"/>
        </w:rPr>
        <w:t>. E</w:t>
      </w:r>
      <w:r w:rsidRPr="003342B6">
        <w:rPr>
          <w:rFonts w:ascii="Times New Roman" w:eastAsiaTheme="minorHAnsi" w:hAnsi="Times New Roman" w:cs="Helvetica"/>
          <w:color w:val="000000"/>
          <w:sz w:val="23"/>
          <w:szCs w:val="23"/>
          <w:lang w:eastAsia="en-US"/>
        </w:rPr>
        <w:t xml:space="preserve">l rector debe conducir estos procesos y motivar a docentes, padres de familia, estudiantes y equipo administrativo para que ayuden en su diseño y puesta en marcha, ya que a través de un esfuerzo colectivo se va logrando que el equipo configure y comparta objetivos y se comprometa a realizar lo que corresponde a cada quién para ir alcanzando y superando las </w:t>
      </w:r>
      <w:r w:rsidRPr="005E188D">
        <w:rPr>
          <w:rFonts w:ascii="Times New Roman" w:eastAsiaTheme="minorHAnsi" w:hAnsi="Times New Roman" w:cs="Helvetica"/>
          <w:color w:val="000000"/>
          <w:szCs w:val="23"/>
          <w:lang w:eastAsia="en-US"/>
        </w:rPr>
        <w:t xml:space="preserve">metas. Después de haber analizado los problemas y </w:t>
      </w:r>
      <w:r w:rsidRPr="00183972">
        <w:rPr>
          <w:rFonts w:ascii="Times New Roman" w:eastAsiaTheme="minorHAnsi" w:hAnsi="Times New Roman" w:cs="Helvetica"/>
          <w:bCs/>
          <w:color w:val="000000"/>
          <w:szCs w:val="23"/>
          <w:lang w:eastAsia="en-US"/>
        </w:rPr>
        <w:t xml:space="preserve">sus </w:t>
      </w:r>
      <w:r w:rsidRPr="00183972">
        <w:rPr>
          <w:rFonts w:ascii="Times New Roman" w:eastAsiaTheme="minorHAnsi" w:hAnsi="Times New Roman" w:cs="Helvetica"/>
          <w:bCs/>
          <w:iCs/>
          <w:color w:val="000000"/>
          <w:szCs w:val="23"/>
          <w:lang w:eastAsia="en-US"/>
        </w:rPr>
        <w:t>causas</w:t>
      </w:r>
      <w:r w:rsidRPr="005E188D">
        <w:rPr>
          <w:rFonts w:ascii="Times New Roman" w:eastAsiaTheme="minorHAnsi" w:hAnsi="Times New Roman" w:cs="Helvetica"/>
          <w:color w:val="000000"/>
          <w:szCs w:val="23"/>
          <w:lang w:eastAsia="en-US"/>
        </w:rPr>
        <w:t>, se deben establecer medidas para mejorar la calidad por medio del reconocimiento de las potencialidades y definiendo las alternativas de solución, entre otros asuntos.”</w:t>
      </w:r>
      <w:r>
        <w:rPr>
          <w:rStyle w:val="Refdenotaalpie"/>
          <w:rFonts w:ascii="Times New Roman" w:eastAsiaTheme="minorHAnsi" w:hAnsi="Times New Roman" w:cs="Helvetica"/>
          <w:color w:val="000000"/>
          <w:szCs w:val="23"/>
          <w:lang w:eastAsia="en-US"/>
        </w:rPr>
        <w:footnoteReference w:id="102"/>
      </w:r>
    </w:p>
    <w:p w:rsidR="00E25949" w:rsidRPr="00BA20B4" w:rsidRDefault="00E25949" w:rsidP="00E25949">
      <w:pPr>
        <w:rPr>
          <w:rFonts w:ascii="Times New Roman" w:hAnsi="Times New Roman"/>
        </w:rPr>
      </w:pPr>
    </w:p>
    <w:p w:rsidR="00DF0973" w:rsidRPr="001427D1" w:rsidRDefault="00E25949" w:rsidP="001427D1">
      <w:pPr>
        <w:pStyle w:val="Ttulo3"/>
        <w:rPr>
          <w:rFonts w:ascii="Times New Roman" w:hAnsi="Times New Roman"/>
        </w:rPr>
      </w:pPr>
      <w:bookmarkStart w:id="45" w:name="_Toc362358064"/>
      <w:r>
        <w:rPr>
          <w:rFonts w:ascii="Times New Roman" w:hAnsi="Times New Roman"/>
        </w:rPr>
        <w:t>3.7</w:t>
      </w:r>
      <w:r w:rsidR="000812AB" w:rsidRPr="001427D1">
        <w:rPr>
          <w:rFonts w:ascii="Times New Roman" w:hAnsi="Times New Roman"/>
        </w:rPr>
        <w:t xml:space="preserve">. </w:t>
      </w:r>
      <w:r w:rsidR="00DF0973" w:rsidRPr="001427D1">
        <w:rPr>
          <w:rFonts w:ascii="Times New Roman" w:hAnsi="Times New Roman"/>
        </w:rPr>
        <w:t>I</w:t>
      </w:r>
      <w:r w:rsidR="00AE4344" w:rsidRPr="001427D1">
        <w:rPr>
          <w:rFonts w:ascii="Times New Roman" w:hAnsi="Times New Roman"/>
        </w:rPr>
        <w:t>nstituto de Investigación Educativa y el Desarrollo Pedagógico</w:t>
      </w:r>
      <w:bookmarkEnd w:id="45"/>
    </w:p>
    <w:p w:rsidR="00DF0973" w:rsidRDefault="00DF0973" w:rsidP="00DF0973">
      <w:pPr>
        <w:rPr>
          <w:rFonts w:ascii="Times New Roman" w:hAnsi="Times New Roman"/>
        </w:rPr>
      </w:pPr>
    </w:p>
    <w:p w:rsidR="00DF0973" w:rsidRDefault="00DF0973" w:rsidP="00DF0973">
      <w:pPr>
        <w:jc w:val="both"/>
        <w:rPr>
          <w:rFonts w:ascii="Times New Roman" w:hAnsi="Times New Roman" w:cs="Arial"/>
          <w:color w:val="000000"/>
        </w:rPr>
      </w:pPr>
      <w:r w:rsidRPr="00042BC5">
        <w:rPr>
          <w:rFonts w:ascii="Times New Roman" w:hAnsi="Times New Roman"/>
        </w:rPr>
        <w:t>El Instituto para la Investigación Educativa y el Desarrollo Pedagógico es un establecimiento público adscrito a la Secretaría de Educación, creado en el año de 1994, con el objeto desarrollar actividades de investigación, capacitación y comunicación para mejorar la calidad del sector educativo de la ciudad.</w:t>
      </w:r>
      <w:r w:rsidRPr="00042BC5">
        <w:rPr>
          <w:rStyle w:val="Refdenotaalpie"/>
          <w:rFonts w:ascii="Times New Roman" w:hAnsi="Times New Roman"/>
        </w:rPr>
        <w:footnoteReference w:id="103"/>
      </w:r>
      <w:r w:rsidRPr="00B80E17">
        <w:rPr>
          <w:rFonts w:ascii="Times New Roman" w:hAnsi="Times New Roman"/>
        </w:rPr>
        <w:t xml:space="preserve"> La gestión del IDEP para el período 2012-2016 se concreta principalmente en el proyecto de inversión No 702, </w:t>
      </w:r>
      <w:r w:rsidRPr="00B80E17">
        <w:rPr>
          <w:rFonts w:ascii="Times New Roman" w:eastAsiaTheme="minorHAnsi" w:hAnsi="Times New Roman" w:cs="Arial"/>
          <w:color w:val="000000"/>
          <w:lang w:eastAsia="en-US"/>
        </w:rPr>
        <w:t xml:space="preserve">Investigación e innovación para la construcción de conocimiento educativo y pedagógico, cuyo objetivo general es </w:t>
      </w:r>
      <w:r>
        <w:rPr>
          <w:rFonts w:ascii="Times New Roman" w:hAnsi="Times New Roman" w:cs="Arial"/>
          <w:color w:val="000000"/>
        </w:rPr>
        <w:t>c</w:t>
      </w:r>
      <w:r w:rsidRPr="00B80E17">
        <w:rPr>
          <w:rFonts w:ascii="Times New Roman" w:hAnsi="Times New Roman" w:cs="Arial"/>
          <w:color w:val="000000"/>
        </w:rPr>
        <w:t xml:space="preserve">ontribuir en la construcción y socialización de conocimiento educativo y pedagógico con docentes, directivos y estudiantes para la materialización del derecho a la educación de calidad y al cumplimiento del Plan Bogotá Humana 2012-2016, </w:t>
      </w:r>
      <w:r w:rsidR="00E97343">
        <w:rPr>
          <w:rFonts w:ascii="Times New Roman" w:hAnsi="Times New Roman" w:cs="Arial"/>
          <w:color w:val="000000"/>
        </w:rPr>
        <w:t>mediante</w:t>
      </w:r>
      <w:r w:rsidRPr="00B80E17">
        <w:rPr>
          <w:rFonts w:ascii="Times New Roman" w:hAnsi="Times New Roman" w:cs="Arial"/>
          <w:color w:val="000000"/>
        </w:rPr>
        <w:t xml:space="preserve"> la investigación, la innovación y el seguimiento de la política pública del Sector.</w:t>
      </w:r>
    </w:p>
    <w:p w:rsidR="00DF0973" w:rsidRDefault="00DF0973" w:rsidP="00DF0973">
      <w:pPr>
        <w:jc w:val="both"/>
        <w:rPr>
          <w:rFonts w:ascii="Times New Roman" w:hAnsi="Times New Roman" w:cs="Arial"/>
          <w:color w:val="000000"/>
        </w:rPr>
      </w:pPr>
    </w:p>
    <w:p w:rsidR="00DF0973" w:rsidRPr="00042BC5" w:rsidRDefault="00DF0973" w:rsidP="00267669">
      <w:pPr>
        <w:jc w:val="both"/>
        <w:rPr>
          <w:rFonts w:ascii="Times New Roman" w:hAnsi="Times New Roman" w:cs="Helvetica"/>
          <w:iCs/>
          <w:color w:val="000000"/>
        </w:rPr>
      </w:pPr>
      <w:r w:rsidRPr="00B80E17">
        <w:rPr>
          <w:rFonts w:ascii="Times New Roman" w:hAnsi="Times New Roman" w:cs="Arial"/>
          <w:color w:val="000000"/>
        </w:rPr>
        <w:t>Los objetivos estratégicos del IDEP son:</w:t>
      </w:r>
      <w:r w:rsidR="00E97343">
        <w:rPr>
          <w:rFonts w:ascii="Times New Roman" w:hAnsi="Times New Roman" w:cs="Helvetica"/>
          <w:bCs/>
          <w:color w:val="000000"/>
        </w:rPr>
        <w:t xml:space="preserve"> a)</w:t>
      </w:r>
      <w:r w:rsidRPr="008447E2">
        <w:rPr>
          <w:rFonts w:ascii="Times New Roman" w:hAnsi="Times New Roman" w:cs="Arial"/>
          <w:color w:val="000000"/>
        </w:rPr>
        <w:t xml:space="preserve"> Producir conocimiento estratégico en el campo de la educación para la formulación </w:t>
      </w:r>
      <w:r w:rsidRPr="008447E2">
        <w:rPr>
          <w:rFonts w:ascii="Times New Roman" w:hAnsi="Times New Roman" w:cs="Helvetica"/>
          <w:iCs/>
          <w:color w:val="000000"/>
        </w:rPr>
        <w:t xml:space="preserve">y ejecución </w:t>
      </w:r>
      <w:r w:rsidRPr="008447E2">
        <w:rPr>
          <w:rFonts w:ascii="Times New Roman" w:hAnsi="Times New Roman" w:cs="Arial"/>
          <w:color w:val="000000"/>
        </w:rPr>
        <w:t>de la política pública en Bogotá</w:t>
      </w:r>
      <w:r w:rsidR="00E97343">
        <w:rPr>
          <w:rFonts w:ascii="Times New Roman" w:hAnsi="Times New Roman" w:cs="Helvetica"/>
          <w:bCs/>
          <w:color w:val="000000"/>
        </w:rPr>
        <w:t xml:space="preserve">; b) </w:t>
      </w:r>
      <w:r w:rsidRPr="008447E2">
        <w:rPr>
          <w:rFonts w:ascii="Times New Roman" w:hAnsi="Times New Roman" w:cs="Arial"/>
          <w:color w:val="000000"/>
        </w:rPr>
        <w:t>Producir</w:t>
      </w:r>
      <w:r w:rsidR="00400151">
        <w:rPr>
          <w:rFonts w:ascii="Times New Roman" w:hAnsi="Times New Roman" w:cs="Arial"/>
          <w:color w:val="000000"/>
        </w:rPr>
        <w:t xml:space="preserve"> </w:t>
      </w:r>
      <w:r w:rsidRPr="008447E2">
        <w:rPr>
          <w:rFonts w:ascii="Times New Roman" w:hAnsi="Times New Roman" w:cs="Arial"/>
          <w:color w:val="000000"/>
        </w:rPr>
        <w:t>conocimiento</w:t>
      </w:r>
      <w:r w:rsidR="00400151">
        <w:rPr>
          <w:rFonts w:ascii="Times New Roman" w:hAnsi="Times New Roman" w:cs="Arial"/>
          <w:color w:val="000000"/>
        </w:rPr>
        <w:t xml:space="preserve"> </w:t>
      </w:r>
      <w:r w:rsidRPr="008447E2">
        <w:rPr>
          <w:rFonts w:ascii="Times New Roman" w:hAnsi="Times New Roman" w:cs="Arial"/>
          <w:color w:val="000000"/>
        </w:rPr>
        <w:t>pedagógico</w:t>
      </w:r>
      <w:r w:rsidR="00400151">
        <w:rPr>
          <w:rFonts w:ascii="Times New Roman" w:hAnsi="Times New Roman" w:cs="Arial"/>
          <w:color w:val="000000"/>
        </w:rPr>
        <w:t xml:space="preserve"> </w:t>
      </w:r>
      <w:r w:rsidRPr="008447E2">
        <w:rPr>
          <w:rFonts w:ascii="Times New Roman" w:hAnsi="Times New Roman" w:cs="Arial"/>
          <w:color w:val="000000"/>
        </w:rPr>
        <w:t>y</w:t>
      </w:r>
      <w:r w:rsidRPr="008447E2">
        <w:rPr>
          <w:rFonts w:ascii="Times New Roman" w:hAnsi="Times New Roman" w:cs="Arial"/>
          <w:color w:val="000000"/>
        </w:rPr>
        <w:tab/>
        <w:t>material</w:t>
      </w:r>
      <w:r w:rsidR="00400151">
        <w:rPr>
          <w:rFonts w:ascii="Times New Roman" w:hAnsi="Times New Roman" w:cs="Arial"/>
          <w:color w:val="000000"/>
        </w:rPr>
        <w:t xml:space="preserve"> </w:t>
      </w:r>
      <w:r w:rsidRPr="008447E2">
        <w:rPr>
          <w:rFonts w:ascii="Times New Roman" w:hAnsi="Times New Roman" w:cs="Arial"/>
          <w:color w:val="000000"/>
        </w:rPr>
        <w:t>educativo</w:t>
      </w:r>
      <w:r w:rsidR="00400151">
        <w:rPr>
          <w:rFonts w:ascii="Times New Roman" w:hAnsi="Times New Roman" w:cs="Arial"/>
          <w:color w:val="000000"/>
        </w:rPr>
        <w:t xml:space="preserve"> </w:t>
      </w:r>
      <w:r w:rsidRPr="008447E2">
        <w:rPr>
          <w:rFonts w:ascii="Times New Roman" w:hAnsi="Times New Roman" w:cs="Arial"/>
          <w:color w:val="000000"/>
        </w:rPr>
        <w:t>para</w:t>
      </w:r>
      <w:r w:rsidR="00400151">
        <w:rPr>
          <w:rFonts w:ascii="Times New Roman" w:hAnsi="Times New Roman" w:cs="Arial"/>
          <w:color w:val="000000"/>
        </w:rPr>
        <w:t xml:space="preserve"> </w:t>
      </w:r>
      <w:r w:rsidRPr="008447E2">
        <w:rPr>
          <w:rFonts w:ascii="Times New Roman" w:hAnsi="Times New Roman" w:cs="Arial"/>
          <w:color w:val="000000"/>
        </w:rPr>
        <w:t>lograr</w:t>
      </w:r>
      <w:r w:rsidR="00400151">
        <w:rPr>
          <w:rFonts w:ascii="Times New Roman" w:hAnsi="Times New Roman" w:cs="Arial"/>
          <w:color w:val="000000"/>
        </w:rPr>
        <w:t xml:space="preserve"> </w:t>
      </w:r>
      <w:r w:rsidRPr="008447E2">
        <w:rPr>
          <w:rFonts w:ascii="Times New Roman" w:hAnsi="Times New Roman" w:cs="Arial"/>
          <w:color w:val="000000"/>
        </w:rPr>
        <w:t xml:space="preserve">aprendizajes </w:t>
      </w:r>
      <w:r w:rsidRPr="008447E2">
        <w:rPr>
          <w:rFonts w:ascii="Times New Roman" w:hAnsi="Times New Roman" w:cs="Helvetica"/>
          <w:iCs/>
          <w:color w:val="000000"/>
        </w:rPr>
        <w:t xml:space="preserve">pertinentes </w:t>
      </w:r>
      <w:r w:rsidRPr="008447E2">
        <w:rPr>
          <w:rFonts w:ascii="Times New Roman" w:hAnsi="Times New Roman" w:cs="Arial"/>
          <w:color w:val="000000"/>
        </w:rPr>
        <w:t>en los niños, niñas y jóvenes en las instituciones educativas</w:t>
      </w:r>
      <w:r w:rsidR="00E97343">
        <w:rPr>
          <w:rFonts w:ascii="Times New Roman" w:hAnsi="Times New Roman" w:cs="Arial"/>
          <w:color w:val="000000"/>
        </w:rPr>
        <w:t>;</w:t>
      </w:r>
      <w:r w:rsidR="00267669">
        <w:rPr>
          <w:rFonts w:ascii="Times New Roman" w:hAnsi="Times New Roman" w:cs="Arial"/>
          <w:color w:val="000000"/>
        </w:rPr>
        <w:t xml:space="preserve"> c) </w:t>
      </w:r>
      <w:r w:rsidRPr="008447E2">
        <w:rPr>
          <w:rFonts w:ascii="Times New Roman" w:hAnsi="Times New Roman" w:cs="Arial"/>
          <w:color w:val="000000"/>
        </w:rPr>
        <w:t xml:space="preserve">Promover la </w:t>
      </w:r>
      <w:r w:rsidRPr="008447E2">
        <w:rPr>
          <w:rFonts w:ascii="Times New Roman" w:hAnsi="Times New Roman" w:cs="Helvetica"/>
          <w:iCs/>
          <w:color w:val="000000"/>
        </w:rPr>
        <w:t>cualificación</w:t>
      </w:r>
      <w:r w:rsidRPr="008447E2">
        <w:rPr>
          <w:rFonts w:ascii="Times New Roman" w:hAnsi="Times New Roman" w:cs="Helvetica"/>
          <w:iCs/>
          <w:color w:val="000000"/>
        </w:rPr>
        <w:tab/>
        <w:t xml:space="preserve"> de docentes y directivos para mejorar sus capacidades en el ejercicio de la profesión</w:t>
      </w:r>
      <w:r w:rsidR="00267669">
        <w:rPr>
          <w:rFonts w:ascii="Times New Roman" w:hAnsi="Times New Roman" w:cs="Helvetica"/>
          <w:bCs/>
          <w:iCs/>
          <w:color w:val="000000"/>
        </w:rPr>
        <w:t xml:space="preserve">: d) </w:t>
      </w:r>
      <w:r w:rsidRPr="008447E2">
        <w:rPr>
          <w:rFonts w:ascii="Times New Roman" w:hAnsi="Times New Roman" w:cs="Arial"/>
          <w:color w:val="000000"/>
        </w:rPr>
        <w:t xml:space="preserve">Generar </w:t>
      </w:r>
      <w:r w:rsidRPr="008447E2">
        <w:rPr>
          <w:rFonts w:ascii="Times New Roman" w:hAnsi="Times New Roman" w:cs="Helvetica"/>
          <w:iCs/>
          <w:color w:val="000000"/>
        </w:rPr>
        <w:t xml:space="preserve">y socializar </w:t>
      </w:r>
      <w:r w:rsidRPr="008447E2">
        <w:rPr>
          <w:rFonts w:ascii="Times New Roman" w:hAnsi="Times New Roman" w:cs="Arial"/>
          <w:color w:val="000000"/>
        </w:rPr>
        <w:t xml:space="preserve">conocimiento sobre la vida escolar y la educación ciudadana, </w:t>
      </w:r>
      <w:r w:rsidRPr="008447E2">
        <w:rPr>
          <w:rFonts w:ascii="Times New Roman" w:hAnsi="Times New Roman" w:cs="Helvetica"/>
          <w:iCs/>
          <w:color w:val="000000"/>
        </w:rPr>
        <w:t>a</w:t>
      </w:r>
      <w:r w:rsidRPr="00B80E17">
        <w:rPr>
          <w:rFonts w:ascii="Times New Roman" w:hAnsi="Times New Roman" w:cs="Helvetica"/>
          <w:iCs/>
          <w:color w:val="000000"/>
        </w:rPr>
        <w:t xml:space="preserve"> partir del </w:t>
      </w:r>
      <w:r w:rsidRPr="00B80E17">
        <w:rPr>
          <w:rFonts w:ascii="Times New Roman" w:hAnsi="Times New Roman" w:cs="Arial"/>
          <w:color w:val="000000"/>
        </w:rPr>
        <w:t>reconocimiento de los actores educativos como sujetos del desarrollo humano en su</w:t>
      </w:r>
      <w:r w:rsidRPr="00B80E17">
        <w:rPr>
          <w:rFonts w:ascii="Times New Roman" w:hAnsi="Times New Roman" w:cs="Helvetica"/>
          <w:iCs/>
          <w:color w:val="000000"/>
        </w:rPr>
        <w:t xml:space="preserve">s dimensiones </w:t>
      </w:r>
      <w:r w:rsidRPr="00B80E17">
        <w:rPr>
          <w:rFonts w:ascii="Times New Roman" w:hAnsi="Times New Roman" w:cs="Arial"/>
          <w:color w:val="000000"/>
        </w:rPr>
        <w:t xml:space="preserve">individual </w:t>
      </w:r>
      <w:r w:rsidRPr="00B80E17">
        <w:rPr>
          <w:rFonts w:ascii="Times New Roman" w:hAnsi="Times New Roman" w:cs="Helvetica"/>
          <w:iCs/>
          <w:color w:val="000000"/>
        </w:rPr>
        <w:t xml:space="preserve">y colectiva y </w:t>
      </w:r>
      <w:r w:rsidRPr="00B80E17">
        <w:rPr>
          <w:rFonts w:ascii="Times New Roman" w:hAnsi="Times New Roman" w:cs="Arial"/>
          <w:color w:val="000000"/>
        </w:rPr>
        <w:t xml:space="preserve">en relación con </w:t>
      </w:r>
      <w:r w:rsidRPr="00B80E17">
        <w:rPr>
          <w:rFonts w:ascii="Times New Roman" w:hAnsi="Times New Roman" w:cs="Helvetica"/>
          <w:iCs/>
          <w:color w:val="000000"/>
        </w:rPr>
        <w:t xml:space="preserve">los </w:t>
      </w:r>
      <w:r w:rsidRPr="00B80E17">
        <w:rPr>
          <w:rFonts w:ascii="Times New Roman" w:hAnsi="Times New Roman" w:cs="Arial"/>
          <w:color w:val="000000"/>
        </w:rPr>
        <w:t>contexto</w:t>
      </w:r>
      <w:r w:rsidRPr="00B80E17">
        <w:rPr>
          <w:rFonts w:ascii="Times New Roman" w:hAnsi="Times New Roman" w:cs="Helvetica"/>
          <w:iCs/>
          <w:color w:val="000000"/>
        </w:rPr>
        <w:t xml:space="preserve">s </w:t>
      </w:r>
      <w:r w:rsidRPr="00B80E17">
        <w:rPr>
          <w:rFonts w:ascii="Times New Roman" w:hAnsi="Times New Roman" w:cs="Arial"/>
          <w:color w:val="000000"/>
        </w:rPr>
        <w:t xml:space="preserve">en </w:t>
      </w:r>
      <w:r w:rsidRPr="00B80E17">
        <w:rPr>
          <w:rFonts w:ascii="Times New Roman" w:hAnsi="Times New Roman" w:cs="Helvetica"/>
          <w:iCs/>
          <w:color w:val="000000"/>
        </w:rPr>
        <w:t xml:space="preserve">los </w:t>
      </w:r>
      <w:r w:rsidRPr="00B80E17">
        <w:rPr>
          <w:rFonts w:ascii="Times New Roman" w:hAnsi="Times New Roman" w:cs="Arial"/>
          <w:color w:val="000000"/>
        </w:rPr>
        <w:t>que interactúa</w:t>
      </w:r>
      <w:r w:rsidRPr="00B80E17">
        <w:rPr>
          <w:rFonts w:ascii="Times New Roman" w:hAnsi="Times New Roman" w:cs="Helvetica"/>
          <w:iCs/>
          <w:color w:val="000000"/>
        </w:rPr>
        <w:t>n.</w:t>
      </w:r>
    </w:p>
    <w:p w:rsidR="00DF0973" w:rsidRDefault="00DF0973" w:rsidP="00DF0973">
      <w:pPr>
        <w:rPr>
          <w:rFonts w:ascii="Times New Roman" w:hAnsi="Times New Roman" w:cs="Arial"/>
          <w:color w:val="000000"/>
        </w:rPr>
      </w:pPr>
    </w:p>
    <w:p w:rsidR="00DF0973" w:rsidRDefault="00DF0973" w:rsidP="00DF0973">
      <w:pPr>
        <w:rPr>
          <w:rFonts w:ascii="Times New Roman" w:hAnsi="Times New Roman" w:cs="Arial"/>
          <w:color w:val="000000"/>
        </w:rPr>
      </w:pPr>
      <w:r>
        <w:rPr>
          <w:rFonts w:ascii="Times New Roman" w:hAnsi="Times New Roman" w:cs="Arial"/>
          <w:color w:val="000000"/>
        </w:rPr>
        <w:t>Estos objetivos se concretan en cuatro componentes con metas específicas:</w:t>
      </w:r>
    </w:p>
    <w:p w:rsidR="00DF0973" w:rsidRPr="00042BC5" w:rsidRDefault="00DF0973" w:rsidP="00DF0973">
      <w:pPr>
        <w:rPr>
          <w:rFonts w:ascii="Times New Roman" w:hAnsi="Times New Roman" w:cs="Arial"/>
          <w:color w:val="000000"/>
        </w:rPr>
      </w:pPr>
    </w:p>
    <w:tbl>
      <w:tblPr>
        <w:tblStyle w:val="Tablaconcuadrcula"/>
        <w:tblW w:w="0" w:type="auto"/>
        <w:tblLook w:val="00A0" w:firstRow="1" w:lastRow="0" w:firstColumn="1" w:lastColumn="0" w:noHBand="0" w:noVBand="0"/>
      </w:tblPr>
      <w:tblGrid>
        <w:gridCol w:w="6204"/>
        <w:gridCol w:w="2835"/>
      </w:tblGrid>
      <w:tr w:rsidR="00DF0973" w:rsidRPr="00042BC5">
        <w:tc>
          <w:tcPr>
            <w:tcW w:w="6204" w:type="dxa"/>
          </w:tcPr>
          <w:p w:rsidR="00DF0973" w:rsidRPr="00042BC5" w:rsidRDefault="00DF0973" w:rsidP="004672C3">
            <w:pPr>
              <w:jc w:val="both"/>
              <w:rPr>
                <w:rFonts w:ascii="Times New Roman" w:hAnsi="Times New Roman"/>
                <w:sz w:val="20"/>
              </w:rPr>
            </w:pPr>
            <w:r w:rsidRPr="00B80E17">
              <w:rPr>
                <w:rFonts w:ascii="Times New Roman" w:hAnsi="Times New Roman"/>
                <w:sz w:val="20"/>
              </w:rPr>
              <w:t>Componente</w:t>
            </w:r>
          </w:p>
        </w:tc>
        <w:tc>
          <w:tcPr>
            <w:tcW w:w="2835" w:type="dxa"/>
          </w:tcPr>
          <w:p w:rsidR="00DF0973" w:rsidRPr="00042BC5" w:rsidRDefault="00DF0973" w:rsidP="004672C3">
            <w:pPr>
              <w:jc w:val="both"/>
              <w:rPr>
                <w:rFonts w:ascii="Times New Roman" w:hAnsi="Times New Roman"/>
                <w:sz w:val="20"/>
              </w:rPr>
            </w:pPr>
            <w:r w:rsidRPr="00B80E17">
              <w:rPr>
                <w:rFonts w:ascii="Times New Roman" w:hAnsi="Times New Roman"/>
                <w:sz w:val="20"/>
              </w:rPr>
              <w:t>Meta</w:t>
            </w:r>
          </w:p>
        </w:tc>
      </w:tr>
      <w:tr w:rsidR="00DF0973" w:rsidRPr="00042BC5">
        <w:tc>
          <w:tcPr>
            <w:tcW w:w="6204" w:type="dxa"/>
          </w:tcPr>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b/>
                <w:bCs/>
                <w:i/>
                <w:iCs/>
                <w:color w:val="000000"/>
                <w:sz w:val="20"/>
              </w:rPr>
            </w:pPr>
            <w:r w:rsidRPr="00B80E17">
              <w:rPr>
                <w:rFonts w:ascii="Times New Roman" w:hAnsi="Times New Roman" w:cs="Helvetica"/>
                <w:b/>
                <w:bCs/>
                <w:i/>
                <w:iCs/>
                <w:color w:val="000000"/>
                <w:sz w:val="20"/>
              </w:rPr>
              <w:t>Escuela, currículo y pedagogía</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lastRenderedPageBreak/>
              <w:t>Aborda todos aquellos aspectos relacionados con la pedagogía, la didáctica y el ejercicio docente en los diferentes ciclos, grados, áreas, proyectos de aula, tiempos y espacios al interior de las instituciones y en sus contextos de relación y desempeño. Se propone aportar, de manera directa o indirecta con otras entidades, conocimiento a la comunidad educativa de Bogotá D.C para contribuir en el avance de procesos transformación pedagógica en el ámbito escolar y la construcción de saberes.</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b/>
                <w:bCs/>
                <w:color w:val="000000"/>
                <w:sz w:val="20"/>
              </w:rPr>
            </w:pPr>
            <w:r w:rsidRPr="00B80E17">
              <w:rPr>
                <w:rFonts w:ascii="Times New Roman" w:hAnsi="Times New Roman" w:cs="Helvetica"/>
                <w:b/>
                <w:bCs/>
                <w:color w:val="000000"/>
                <w:sz w:val="20"/>
              </w:rPr>
              <w:t>Ámbitos</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1.</w:t>
            </w:r>
            <w:r w:rsidRPr="00B80E17">
              <w:rPr>
                <w:rFonts w:ascii="Times New Roman" w:hAnsi="Times New Roman" w:cs="Arial"/>
                <w:color w:val="000000"/>
                <w:sz w:val="20"/>
              </w:rPr>
              <w:tab/>
              <w:t xml:space="preserve">Saberes y mediaciones.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2.</w:t>
            </w:r>
            <w:r w:rsidRPr="00B80E17">
              <w:rPr>
                <w:rFonts w:ascii="Times New Roman" w:hAnsi="Times New Roman" w:cs="Arial"/>
                <w:color w:val="000000"/>
                <w:sz w:val="20"/>
              </w:rPr>
              <w:tab/>
              <w:t xml:space="preserve">Convivencia.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3.</w:t>
            </w:r>
            <w:r w:rsidRPr="00B80E17">
              <w:rPr>
                <w:rFonts w:ascii="Times New Roman" w:hAnsi="Times New Roman" w:cs="Arial"/>
                <w:color w:val="000000"/>
                <w:sz w:val="20"/>
              </w:rPr>
              <w:tab/>
              <w:t>Organización escolar.</w:t>
            </w:r>
          </w:p>
          <w:p w:rsidR="00DF0973" w:rsidRPr="00042BC5" w:rsidRDefault="00DF0973" w:rsidP="004672C3">
            <w:pPr>
              <w:jc w:val="both"/>
              <w:rPr>
                <w:rFonts w:ascii="Times New Roman" w:hAnsi="Times New Roman"/>
                <w:sz w:val="20"/>
              </w:rPr>
            </w:pPr>
          </w:p>
        </w:tc>
        <w:tc>
          <w:tcPr>
            <w:tcW w:w="2835" w:type="dxa"/>
          </w:tcPr>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lastRenderedPageBreak/>
              <w:t>1.</w:t>
            </w:r>
            <w:r w:rsidRPr="00B80E17">
              <w:rPr>
                <w:rFonts w:ascii="Times New Roman" w:hAnsi="Times New Roman" w:cs="Arial"/>
                <w:color w:val="000000"/>
                <w:sz w:val="20"/>
              </w:rPr>
              <w:tab/>
              <w:t xml:space="preserve">Desarrollar 27 estudios </w:t>
            </w:r>
            <w:r w:rsidRPr="00B80E17">
              <w:rPr>
                <w:rFonts w:ascii="Times New Roman" w:hAnsi="Times New Roman" w:cs="Arial"/>
                <w:color w:val="000000"/>
                <w:sz w:val="20"/>
              </w:rPr>
              <w:lastRenderedPageBreak/>
              <w:t xml:space="preserve">en Escuela, currículo y pedagogía.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2.</w:t>
            </w:r>
            <w:r w:rsidRPr="00B80E17">
              <w:rPr>
                <w:rFonts w:ascii="Times New Roman" w:hAnsi="Times New Roman" w:cs="Arial"/>
                <w:color w:val="000000"/>
                <w:sz w:val="20"/>
              </w:rPr>
              <w:tab/>
              <w:t xml:space="preserve">Realizar el diseño estratégico del componente Escuela, Currículo y pedagogía. </w:t>
            </w:r>
          </w:p>
          <w:p w:rsidR="00DF0973" w:rsidRPr="00042BC5" w:rsidRDefault="00DF0973" w:rsidP="004672C3">
            <w:pPr>
              <w:jc w:val="both"/>
              <w:rPr>
                <w:rFonts w:ascii="Times New Roman" w:hAnsi="Times New Roman"/>
                <w:sz w:val="20"/>
              </w:rPr>
            </w:pPr>
          </w:p>
        </w:tc>
      </w:tr>
      <w:tr w:rsidR="00DF0973" w:rsidRPr="00042BC5">
        <w:tc>
          <w:tcPr>
            <w:tcW w:w="6204" w:type="dxa"/>
          </w:tcPr>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b/>
                <w:bCs/>
                <w:i/>
                <w:iCs/>
                <w:color w:val="000000"/>
                <w:sz w:val="20"/>
              </w:rPr>
            </w:pPr>
            <w:r w:rsidRPr="00B80E17">
              <w:rPr>
                <w:rFonts w:ascii="Times New Roman" w:hAnsi="Times New Roman" w:cs="Helvetica"/>
                <w:b/>
                <w:bCs/>
                <w:i/>
                <w:iCs/>
                <w:color w:val="000000"/>
                <w:sz w:val="20"/>
              </w:rPr>
              <w:lastRenderedPageBreak/>
              <w:t>Educación y políticas públicas</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Involucra el estudio y análisis de las políticas públicas en educación, su evaluación y seguimiento, el monitoreo de los efectos de las acciones que de ellas se derivan, lo mismo que las diferentes dimensiones de constitución de los sujetos y la interacción entre la vida escolar y la vida ciudadana, entre la escuela y la ciudad como contextos que se permean mutuamente en sus dinámicas sociales y culturales.</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b/>
                <w:bCs/>
                <w:color w:val="000000"/>
                <w:sz w:val="20"/>
              </w:rPr>
            </w:pPr>
            <w:r w:rsidRPr="00B80E17">
              <w:rPr>
                <w:rFonts w:ascii="Times New Roman" w:hAnsi="Times New Roman" w:cs="Helvetica"/>
                <w:b/>
                <w:bCs/>
                <w:color w:val="000000"/>
                <w:sz w:val="20"/>
              </w:rPr>
              <w:t>Ámbitos</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1.</w:t>
            </w:r>
            <w:r w:rsidRPr="00B80E17">
              <w:rPr>
                <w:rFonts w:ascii="Times New Roman" w:hAnsi="Times New Roman" w:cs="Arial"/>
                <w:color w:val="000000"/>
                <w:sz w:val="20"/>
              </w:rPr>
              <w:tab/>
              <w:t xml:space="preserve">Derecho a la educación.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2.</w:t>
            </w:r>
            <w:r w:rsidRPr="00B80E17">
              <w:rPr>
                <w:rFonts w:ascii="Times New Roman" w:hAnsi="Times New Roman" w:cs="Arial"/>
                <w:color w:val="000000"/>
                <w:sz w:val="20"/>
              </w:rPr>
              <w:tab/>
              <w:t xml:space="preserve">Educación para la ciudadanía, los derechos humanos y ambientales.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3.</w:t>
            </w:r>
            <w:r w:rsidRPr="00B80E17">
              <w:rPr>
                <w:rFonts w:ascii="Times New Roman" w:hAnsi="Times New Roman" w:cs="Arial"/>
                <w:color w:val="000000"/>
                <w:sz w:val="20"/>
              </w:rPr>
              <w:tab/>
              <w:t>Subjetividad, diversidad e interculturalidad.</w:t>
            </w:r>
          </w:p>
          <w:p w:rsidR="00DF0973" w:rsidRPr="00042BC5" w:rsidRDefault="00DF0973" w:rsidP="004672C3">
            <w:pPr>
              <w:jc w:val="both"/>
              <w:rPr>
                <w:rFonts w:ascii="Times New Roman" w:hAnsi="Times New Roman"/>
                <w:sz w:val="20"/>
              </w:rPr>
            </w:pPr>
          </w:p>
        </w:tc>
        <w:tc>
          <w:tcPr>
            <w:tcW w:w="2835" w:type="dxa"/>
          </w:tcPr>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1.</w:t>
            </w:r>
            <w:r w:rsidRPr="00B80E17">
              <w:rPr>
                <w:rFonts w:ascii="Times New Roman" w:hAnsi="Times New Roman" w:cs="Arial"/>
                <w:color w:val="000000"/>
                <w:sz w:val="20"/>
              </w:rPr>
              <w:tab/>
              <w:t xml:space="preserve">Desarrollar 16 estudios en Educación y Políticas Públicas.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2.</w:t>
            </w:r>
            <w:r w:rsidRPr="00B80E17">
              <w:rPr>
                <w:rFonts w:ascii="Times New Roman" w:hAnsi="Times New Roman" w:cs="Arial"/>
                <w:color w:val="000000"/>
                <w:sz w:val="20"/>
              </w:rPr>
              <w:tab/>
              <w:t>Realizar el diseño estratégico del componente Educación y políticas públicas.</w:t>
            </w:r>
          </w:p>
          <w:p w:rsidR="00DF0973" w:rsidRPr="00042BC5" w:rsidRDefault="00DF0973" w:rsidP="004672C3">
            <w:pPr>
              <w:jc w:val="both"/>
              <w:rPr>
                <w:rFonts w:ascii="Times New Roman" w:hAnsi="Times New Roman"/>
                <w:sz w:val="20"/>
              </w:rPr>
            </w:pPr>
          </w:p>
        </w:tc>
      </w:tr>
      <w:tr w:rsidR="00DF0973" w:rsidRPr="00042BC5">
        <w:tc>
          <w:tcPr>
            <w:tcW w:w="6204" w:type="dxa"/>
          </w:tcPr>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b/>
                <w:bCs/>
                <w:i/>
                <w:iCs/>
                <w:color w:val="000000"/>
                <w:sz w:val="20"/>
              </w:rPr>
            </w:pPr>
            <w:r w:rsidRPr="00B80E17">
              <w:rPr>
                <w:rFonts w:ascii="Times New Roman" w:hAnsi="Times New Roman" w:cs="Helvetica"/>
                <w:b/>
                <w:bCs/>
                <w:i/>
                <w:iCs/>
                <w:color w:val="000000"/>
                <w:sz w:val="20"/>
              </w:rPr>
              <w:t>Cualificación docente</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Considera estudios y aportes para la pertinencia de la educación y el mejoramiento de su calidad mediante estrategias de apoyo, intercambio de saberes permanentes e incentivos a los docentes y directivos del Distrito Capital en ejercicio.</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b/>
                <w:bCs/>
                <w:color w:val="000000"/>
                <w:sz w:val="20"/>
              </w:rPr>
            </w:pPr>
            <w:r w:rsidRPr="00B80E17">
              <w:rPr>
                <w:rFonts w:ascii="Times New Roman" w:hAnsi="Times New Roman" w:cs="Helvetica"/>
                <w:b/>
                <w:bCs/>
                <w:color w:val="000000"/>
                <w:sz w:val="20"/>
              </w:rPr>
              <w:t>Ámbitos</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1.</w:t>
            </w:r>
            <w:r w:rsidRPr="00B80E17">
              <w:rPr>
                <w:rFonts w:ascii="Times New Roman" w:hAnsi="Times New Roman" w:cs="Arial"/>
                <w:color w:val="000000"/>
                <w:sz w:val="20"/>
              </w:rPr>
              <w:tab/>
              <w:t xml:space="preserve">Incentivos y reconocimientos.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2.</w:t>
            </w:r>
            <w:r w:rsidRPr="00B80E17">
              <w:rPr>
                <w:rFonts w:ascii="Times New Roman" w:hAnsi="Times New Roman" w:cs="Arial"/>
                <w:color w:val="000000"/>
                <w:sz w:val="20"/>
              </w:rPr>
              <w:tab/>
              <w:t xml:space="preserve">Diálogos pedagógicos.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3.</w:t>
            </w:r>
            <w:r w:rsidRPr="00B80E17">
              <w:rPr>
                <w:rFonts w:ascii="Times New Roman" w:hAnsi="Times New Roman" w:cs="Arial"/>
                <w:color w:val="000000"/>
                <w:sz w:val="20"/>
              </w:rPr>
              <w:tab/>
              <w:t>Actualización docente.</w:t>
            </w:r>
          </w:p>
          <w:p w:rsidR="00DF0973" w:rsidRPr="00042BC5" w:rsidRDefault="00DF0973" w:rsidP="004672C3">
            <w:pPr>
              <w:jc w:val="both"/>
              <w:rPr>
                <w:rFonts w:ascii="Times New Roman" w:hAnsi="Times New Roman"/>
                <w:sz w:val="20"/>
              </w:rPr>
            </w:pPr>
          </w:p>
        </w:tc>
        <w:tc>
          <w:tcPr>
            <w:tcW w:w="2835" w:type="dxa"/>
          </w:tcPr>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1.</w:t>
            </w:r>
            <w:r w:rsidRPr="00B80E17">
              <w:rPr>
                <w:rFonts w:ascii="Times New Roman" w:hAnsi="Times New Roman" w:cs="Arial"/>
                <w:color w:val="000000"/>
                <w:sz w:val="20"/>
              </w:rPr>
              <w:tab/>
              <w:t xml:space="preserve">Desarrollar 4 estudios en Cualificación docentes.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2.</w:t>
            </w:r>
            <w:r w:rsidRPr="00B80E17">
              <w:rPr>
                <w:rFonts w:ascii="Times New Roman" w:hAnsi="Times New Roman" w:cs="Arial"/>
                <w:color w:val="000000"/>
                <w:sz w:val="20"/>
              </w:rPr>
              <w:tab/>
              <w:t xml:space="preserve">Realizar 5 estrategias en Cualificación docentes. </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3.</w:t>
            </w:r>
            <w:r w:rsidRPr="00B80E17">
              <w:rPr>
                <w:rFonts w:ascii="Times New Roman" w:hAnsi="Times New Roman" w:cs="Arial"/>
                <w:color w:val="000000"/>
                <w:sz w:val="20"/>
              </w:rPr>
              <w:tab/>
              <w:t>Realizar una propuesta de lineamentos para un sistema de formación de docentes.</w:t>
            </w:r>
          </w:p>
          <w:p w:rsidR="00DF0973" w:rsidRPr="00042BC5" w:rsidRDefault="00DF0973" w:rsidP="004672C3">
            <w:pPr>
              <w:jc w:val="both"/>
              <w:rPr>
                <w:rFonts w:ascii="Times New Roman" w:hAnsi="Times New Roman"/>
                <w:sz w:val="20"/>
              </w:rPr>
            </w:pPr>
          </w:p>
        </w:tc>
      </w:tr>
      <w:tr w:rsidR="00DF0973" w:rsidRPr="00042BC5">
        <w:tc>
          <w:tcPr>
            <w:tcW w:w="6204" w:type="dxa"/>
          </w:tcPr>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b/>
                <w:bCs/>
                <w:i/>
                <w:iCs/>
                <w:color w:val="000000"/>
                <w:sz w:val="20"/>
              </w:rPr>
            </w:pPr>
            <w:r w:rsidRPr="00B80E17">
              <w:rPr>
                <w:rFonts w:ascii="Times New Roman" w:hAnsi="Times New Roman" w:cs="Helvetica"/>
                <w:b/>
                <w:bCs/>
                <w:i/>
                <w:iCs/>
                <w:color w:val="000000"/>
                <w:sz w:val="20"/>
              </w:rPr>
              <w:t>Comunicación, socialización y divulgación</w:t>
            </w:r>
          </w:p>
          <w:p w:rsidR="00DF0973" w:rsidRPr="00042BC5" w:rsidRDefault="00DF0973" w:rsidP="00134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0"/>
              </w:rPr>
            </w:pPr>
            <w:r w:rsidRPr="00B80E17">
              <w:rPr>
                <w:rFonts w:ascii="Times New Roman" w:hAnsi="Times New Roman" w:cs="Arial"/>
                <w:color w:val="000000"/>
                <w:sz w:val="20"/>
              </w:rPr>
              <w:t>Este componente contempla comunicar, socializar y divulgar el conocimiento pedagógico y educativo promovido o producido por maestros, maestras e investigadores. Parte de entender que la labor investigativa e innovadora de las comunidades académicas se constituye en un aporte para lograr alcanzar una educación de calidad.</w:t>
            </w:r>
          </w:p>
          <w:p w:rsidR="00DF0973" w:rsidRPr="00042BC5" w:rsidRDefault="00DF0973" w:rsidP="00134CA0">
            <w:pPr>
              <w:jc w:val="both"/>
              <w:rPr>
                <w:rFonts w:ascii="Times New Roman" w:hAnsi="Times New Roman"/>
                <w:sz w:val="20"/>
              </w:rPr>
            </w:pPr>
          </w:p>
        </w:tc>
        <w:tc>
          <w:tcPr>
            <w:tcW w:w="2835" w:type="dxa"/>
          </w:tcPr>
          <w:p w:rsidR="00DF0973" w:rsidRPr="00042BC5" w:rsidRDefault="00DF0973" w:rsidP="00134CA0">
            <w:pPr>
              <w:jc w:val="both"/>
              <w:rPr>
                <w:rFonts w:ascii="Times New Roman" w:hAnsi="Times New Roman"/>
                <w:sz w:val="20"/>
              </w:rPr>
            </w:pPr>
            <w:r w:rsidRPr="00B80E17">
              <w:rPr>
                <w:rFonts w:ascii="Times New Roman" w:hAnsi="Times New Roman" w:cs="Arial"/>
                <w:color w:val="000000"/>
                <w:sz w:val="20"/>
              </w:rPr>
              <w:t>Realizar una estrategia de comunicación</w:t>
            </w:r>
          </w:p>
        </w:tc>
      </w:tr>
    </w:tbl>
    <w:p w:rsidR="00DF0973" w:rsidRPr="00042BC5" w:rsidRDefault="00DF0973" w:rsidP="00DF0973">
      <w:pPr>
        <w:rPr>
          <w:rFonts w:ascii="Times New Roman" w:hAnsi="Times New Roman"/>
          <w:sz w:val="16"/>
        </w:rPr>
      </w:pPr>
      <w:r w:rsidRPr="00B80E17">
        <w:rPr>
          <w:rFonts w:ascii="Times New Roman" w:hAnsi="Times New Roman"/>
          <w:sz w:val="16"/>
        </w:rPr>
        <w:t>Fuente: Ficha del proyecto 702, http://www.idep.edu.co/pdf/Construccion%20de%20conocimiento%20educativo%20y%20pedagogico%202012-2016.pdf</w:t>
      </w:r>
    </w:p>
    <w:p w:rsidR="00DF0973" w:rsidRPr="001427D1" w:rsidRDefault="00E25949" w:rsidP="001427D1">
      <w:pPr>
        <w:pStyle w:val="Ttulo3"/>
        <w:rPr>
          <w:rFonts w:ascii="Times New Roman" w:hAnsi="Times New Roman"/>
        </w:rPr>
      </w:pPr>
      <w:bookmarkStart w:id="46" w:name="_Toc362358065"/>
      <w:r>
        <w:rPr>
          <w:rFonts w:ascii="Times New Roman" w:hAnsi="Times New Roman"/>
        </w:rPr>
        <w:t>3.8</w:t>
      </w:r>
      <w:r w:rsidR="00DF0973" w:rsidRPr="001427D1">
        <w:rPr>
          <w:rFonts w:ascii="Times New Roman" w:hAnsi="Times New Roman"/>
        </w:rPr>
        <w:t>. U</w:t>
      </w:r>
      <w:r w:rsidR="00166542" w:rsidRPr="001427D1">
        <w:rPr>
          <w:rFonts w:ascii="Times New Roman" w:hAnsi="Times New Roman"/>
        </w:rPr>
        <w:t>niversidad Distrital</w:t>
      </w:r>
      <w:bookmarkEnd w:id="46"/>
    </w:p>
    <w:p w:rsidR="00AD310D" w:rsidRDefault="00AD310D" w:rsidP="00B2619C">
      <w:pPr>
        <w:jc w:val="both"/>
        <w:rPr>
          <w:rFonts w:ascii="Times New Roman" w:hAnsi="Times New Roman"/>
        </w:rPr>
      </w:pPr>
    </w:p>
    <w:p w:rsidR="00B2619C" w:rsidRPr="005E7F44" w:rsidRDefault="00B2619C" w:rsidP="00B2619C">
      <w:pPr>
        <w:jc w:val="both"/>
        <w:rPr>
          <w:rFonts w:ascii="Times New Roman" w:hAnsi="Times New Roman"/>
        </w:rPr>
      </w:pPr>
      <w:r w:rsidRPr="005E7F44">
        <w:rPr>
          <w:rFonts w:ascii="Times New Roman" w:hAnsi="Times New Roman"/>
        </w:rPr>
        <w:t>La Universidad Distrital Francisco José de Caldas</w:t>
      </w:r>
      <w:r w:rsidRPr="005E7F44">
        <w:rPr>
          <w:rFonts w:ascii="Times New Roman" w:hAnsi="Times New Roman"/>
          <w:vertAlign w:val="superscript"/>
        </w:rPr>
        <w:footnoteReference w:id="104"/>
      </w:r>
      <w:r w:rsidRPr="005E7F44">
        <w:rPr>
          <w:rFonts w:ascii="Times New Roman" w:hAnsi="Times New Roman"/>
        </w:rPr>
        <w:t xml:space="preserve"> es un ente universitario autónomo perteneciente a la administración de Bogotá cuya estructura, funciones y órganos de dirección y administración se establecen en el Acuerdo 03 de 1997 del Consejo Superior de </w:t>
      </w:r>
      <w:r w:rsidRPr="005E7F44">
        <w:rPr>
          <w:rFonts w:ascii="Times New Roman" w:hAnsi="Times New Roman"/>
        </w:rPr>
        <w:lastRenderedPageBreak/>
        <w:t xml:space="preserve">la Entidad. El Consejo Superior de la Universidad mediante el Acuerdo 01 de 2008 aprobó el Plan Estratégico de Desarrollo para el período 2008-2016, instrumento que sirve de marco para la formulación de planes trienales a partir de los cuales se preparan los proyectos de inversión, los planes de acción y los presupuestos anuales. </w:t>
      </w:r>
    </w:p>
    <w:p w:rsidR="00B2619C" w:rsidRPr="005E7F44" w:rsidRDefault="00B2619C" w:rsidP="00B2619C">
      <w:pPr>
        <w:jc w:val="both"/>
        <w:rPr>
          <w:rFonts w:ascii="Times New Roman" w:hAnsi="Times New Roman"/>
        </w:rPr>
      </w:pPr>
    </w:p>
    <w:p w:rsidR="00B2619C" w:rsidRPr="005E7F44" w:rsidRDefault="00B2619C" w:rsidP="00B2619C">
      <w:pPr>
        <w:jc w:val="both"/>
        <w:rPr>
          <w:rFonts w:ascii="Times New Roman" w:hAnsi="Times New Roman"/>
        </w:rPr>
      </w:pPr>
      <w:r w:rsidRPr="005E7F44">
        <w:rPr>
          <w:rFonts w:ascii="Times New Roman" w:hAnsi="Times New Roman"/>
          <w:bCs/>
        </w:rPr>
        <w:t>En el año 2012 la Universidad Distrital tuvo 29.937 estudiantes, de los cuales 27.788 de pregrado, 1.112 de especialización, 842 de maestría y 95 de doctorado. En el año 2011 se graduaron 3.591 estudiantes, de los cuales 2.649 de pregrado, 835 de especialización y 106 de maestría y 1 de doctorado</w:t>
      </w:r>
      <w:r>
        <w:rPr>
          <w:rFonts w:ascii="Times New Roman" w:hAnsi="Times New Roman"/>
          <w:bCs/>
        </w:rPr>
        <w:t xml:space="preserve">. </w:t>
      </w:r>
      <w:r w:rsidRPr="005E7F44">
        <w:rPr>
          <w:rFonts w:ascii="Times New Roman" w:hAnsi="Times New Roman"/>
          <w:bCs/>
        </w:rPr>
        <w:t>El 70.6% de los estudiantes pertenece a los estratos 1 y 2 y el 27.9% al estrato 3, y el costo promedio de la matrícula va de $82.500 para el estrato 1, $143.732 para el estrato 2 y el promedio de todo el pregrado es de $190.634, mostrando una clara orientación hacia la población de menores ingresos.</w:t>
      </w:r>
      <w:r w:rsidRPr="005E7F44">
        <w:rPr>
          <w:rFonts w:ascii="Times New Roman" w:hAnsi="Times New Roman"/>
          <w:vertAlign w:val="superscript"/>
        </w:rPr>
        <w:footnoteReference w:id="105"/>
      </w:r>
    </w:p>
    <w:p w:rsidR="00B2619C" w:rsidRPr="005E7F44" w:rsidRDefault="00B2619C" w:rsidP="00B2619C">
      <w:pPr>
        <w:jc w:val="both"/>
        <w:rPr>
          <w:rFonts w:ascii="Times New Roman" w:hAnsi="Times New Roman"/>
          <w:bCs/>
        </w:rPr>
      </w:pPr>
    </w:p>
    <w:p w:rsidR="00B2619C" w:rsidRPr="005E7F44" w:rsidRDefault="00B2619C" w:rsidP="00B2619C">
      <w:pPr>
        <w:jc w:val="both"/>
        <w:rPr>
          <w:rFonts w:ascii="Times New Roman" w:hAnsi="Times New Roman"/>
          <w:bCs/>
        </w:rPr>
      </w:pPr>
      <w:r w:rsidRPr="005E7F44">
        <w:rPr>
          <w:rFonts w:ascii="Times New Roman" w:hAnsi="Times New Roman"/>
          <w:bCs/>
        </w:rPr>
        <w:t>La Universidad ofrece 76 programas, de los cuales 42 de pregrado, 22 de especialización, 10 de maestría y 2 de doctorado, y cuenta con un total de 1.908 profesores de los cuales 811 de tiempo completo, 99 de medio tiempo y el resto de cátedra, y con 271 funcionarios administrativos. Tiene 93 grupos de investigación y 7 revistas indexadas.</w:t>
      </w:r>
    </w:p>
    <w:p w:rsidR="00B2619C" w:rsidRPr="005E7F44" w:rsidRDefault="00B2619C" w:rsidP="00B2619C">
      <w:pPr>
        <w:jc w:val="both"/>
        <w:rPr>
          <w:rFonts w:ascii="Times New Roman" w:hAnsi="Times New Roman"/>
        </w:rPr>
      </w:pPr>
    </w:p>
    <w:p w:rsidR="00B2619C" w:rsidRPr="005E7F44" w:rsidRDefault="00B2619C" w:rsidP="00B2619C">
      <w:pPr>
        <w:jc w:val="both"/>
        <w:rPr>
          <w:rFonts w:ascii="Times New Roman" w:hAnsi="Times New Roman"/>
        </w:rPr>
      </w:pPr>
      <w:r w:rsidRPr="005E7F44">
        <w:rPr>
          <w:rFonts w:ascii="Times New Roman" w:hAnsi="Times New Roman"/>
        </w:rPr>
        <w:t xml:space="preserve">La Universidad asume, desde su Proyecto Universitario Institucional, un proyecto cultural que orienta las funciones de formación, formación docente investigación y extensión, para la comprensión de realidades sociales y culturales en la perspectiva de la construcción y desarrollo de la nación colombiana; en consecuencia pretende lograr la concertación de voluntades y esfuerzos de la comunidad universitaria en torno al propósito de reconstruir la memoria histórica como institución de educación superior para valorar el pasado y emprender nuevas formas de acción que permitan responder a las demandas de la sociedad actual y la del futuro. El Proyecto Universitario Institucional está centrado en la calidad de la educación entendida como la posibilidad de desarrollo de los seres humanos y la sociedad en su conjunto a través del dominio del conocimiento como forma de apropiación de la realidad y opción de transformación. </w:t>
      </w:r>
    </w:p>
    <w:p w:rsidR="00B2619C" w:rsidRPr="005E7F44" w:rsidRDefault="00B2619C" w:rsidP="00B2619C">
      <w:pPr>
        <w:jc w:val="both"/>
        <w:rPr>
          <w:rFonts w:ascii="Times New Roman" w:hAnsi="Times New Roman"/>
        </w:rPr>
      </w:pPr>
    </w:p>
    <w:p w:rsidR="00B2619C" w:rsidRPr="00A4002E" w:rsidRDefault="00B2619C" w:rsidP="00B2619C">
      <w:pPr>
        <w:jc w:val="both"/>
        <w:rPr>
          <w:rFonts w:ascii="Times New Roman" w:hAnsi="Times New Roman"/>
          <w:b/>
        </w:rPr>
      </w:pPr>
      <w:r w:rsidRPr="00A4002E">
        <w:rPr>
          <w:rFonts w:ascii="Times New Roman" w:hAnsi="Times New Roman"/>
          <w:b/>
        </w:rPr>
        <w:t>FORMACIÓN</w:t>
      </w:r>
    </w:p>
    <w:p w:rsidR="00B2619C" w:rsidRPr="005E7F44" w:rsidRDefault="00B2619C" w:rsidP="00B2619C">
      <w:pPr>
        <w:jc w:val="both"/>
        <w:rPr>
          <w:rFonts w:ascii="Times New Roman" w:hAnsi="Times New Roman"/>
          <w:b/>
          <w:u w:val="single"/>
        </w:rPr>
      </w:pPr>
    </w:p>
    <w:p w:rsidR="00B2619C" w:rsidRPr="005E7F44" w:rsidRDefault="00B2619C" w:rsidP="00B2619C">
      <w:pPr>
        <w:jc w:val="both"/>
        <w:rPr>
          <w:rFonts w:ascii="Times New Roman" w:hAnsi="Times New Roman"/>
        </w:rPr>
      </w:pPr>
      <w:r w:rsidRPr="005E7F44">
        <w:rPr>
          <w:rFonts w:ascii="Times New Roman" w:hAnsi="Times New Roman"/>
        </w:rPr>
        <w:t>En el Plan Estratégico de Desarrollo de la Universidad Distrital se señalan como metas garantizar las condiciones académicas de los estudiantes admitidos y diseñar el modelo de articulación de la educación media y superior. La política de articulación ha esbozado desafíos concretos, rutas de trabajo y resultados en su intento por impactar en el entorno local, región-capital y nacional, generando alternativas educativas y ampliando y fortaleciendo su cobertura académica.</w:t>
      </w:r>
    </w:p>
    <w:p w:rsidR="00AD310D" w:rsidRDefault="00AD310D" w:rsidP="00B2619C">
      <w:pPr>
        <w:jc w:val="both"/>
        <w:rPr>
          <w:rFonts w:ascii="Times New Roman" w:hAnsi="Times New Roman"/>
        </w:rPr>
      </w:pPr>
    </w:p>
    <w:p w:rsidR="00B2619C" w:rsidRPr="005E7F44" w:rsidRDefault="00B2619C" w:rsidP="00B2619C">
      <w:pPr>
        <w:jc w:val="both"/>
        <w:rPr>
          <w:rFonts w:ascii="Times New Roman" w:hAnsi="Times New Roman"/>
        </w:rPr>
      </w:pPr>
      <w:r w:rsidRPr="005E7F44">
        <w:rPr>
          <w:rFonts w:ascii="Times New Roman" w:hAnsi="Times New Roman"/>
        </w:rPr>
        <w:t xml:space="preserve">El proyecto académico comprende el desarrollo de procesos formativos, de innovación pedagógica y flexibilidad curricular, afianzando la nueva conceptualización curricular, el modelo educativo, el ajuste de planes de estudio, la identificación de áreas comunes y mapas de competencias, la implementación de la cátedras institucionales y el manejo de una segunda lengua; el tránsito al sistema de créditos de todos los proyectos curriculares de </w:t>
      </w:r>
      <w:r w:rsidRPr="005E7F44">
        <w:rPr>
          <w:rFonts w:ascii="Times New Roman" w:hAnsi="Times New Roman"/>
        </w:rPr>
        <w:lastRenderedPageBreak/>
        <w:t>la Universidad con un enfoque interdisciplinario, social y dinámico, de acuerdo con las nuevas tendencias educativas en las universidades, donde se privilegian más que los habituales procesos de enseñanza, los modernos procesos de aprendizaje.</w:t>
      </w:r>
    </w:p>
    <w:p w:rsidR="00B2619C" w:rsidRPr="005E7F44" w:rsidRDefault="00B2619C" w:rsidP="00B2619C">
      <w:pPr>
        <w:jc w:val="both"/>
        <w:rPr>
          <w:rFonts w:ascii="Times New Roman" w:hAnsi="Times New Roman"/>
        </w:rPr>
      </w:pPr>
    </w:p>
    <w:p w:rsidR="00B2619C" w:rsidRPr="00A4002E" w:rsidRDefault="00B2619C" w:rsidP="00B2619C">
      <w:pPr>
        <w:jc w:val="both"/>
        <w:rPr>
          <w:rFonts w:ascii="Times New Roman" w:hAnsi="Times New Roman"/>
          <w:b/>
        </w:rPr>
      </w:pPr>
      <w:r w:rsidRPr="00A4002E">
        <w:rPr>
          <w:rFonts w:ascii="Times New Roman" w:hAnsi="Times New Roman"/>
          <w:b/>
        </w:rPr>
        <w:t>FORMACIÓN DOCENTE</w:t>
      </w:r>
    </w:p>
    <w:p w:rsidR="00B2619C" w:rsidRPr="005E7F44" w:rsidRDefault="00B2619C" w:rsidP="00B2619C">
      <w:pPr>
        <w:jc w:val="both"/>
        <w:rPr>
          <w:rFonts w:ascii="Times New Roman" w:hAnsi="Times New Roman"/>
          <w:b/>
          <w:u w:val="single"/>
        </w:rPr>
      </w:pPr>
    </w:p>
    <w:p w:rsidR="00B2619C" w:rsidRPr="005E7F44" w:rsidRDefault="00B2619C" w:rsidP="00B2619C">
      <w:pPr>
        <w:jc w:val="both"/>
        <w:rPr>
          <w:rFonts w:ascii="Times New Roman" w:hAnsi="Times New Roman"/>
        </w:rPr>
      </w:pPr>
      <w:r w:rsidRPr="005E7F44">
        <w:rPr>
          <w:rFonts w:ascii="Times New Roman" w:hAnsi="Times New Roman"/>
        </w:rPr>
        <w:t>El Plan de Formación Docente está orientado a actualizar y profundizar los conocimientos para el desarrollo de una mejor docencia universitaria, el fomento de la investigación, la creación artística y la gestión académica, pedagógica y curricular, conforme a las necesidades de calidad, innovación científica y tecnológica y de desarrollo económico y social. En ese contexto, se trabajó conjuntamente con las facultades para consolidar las necesidades de estudios, comisiones, y otros planes de formación, permitiendo tener la información de la formación posgradual de los docentes de la Universidad y se presentó la propuesta de reglamentación de las pasantías docentes que se adelantan en formación doctoral, en el proceso de investigación y en la movilidad e internacionalización académica de la universidad.</w:t>
      </w:r>
    </w:p>
    <w:p w:rsidR="00B2619C" w:rsidRPr="005E7F44" w:rsidRDefault="00B2619C" w:rsidP="00B2619C">
      <w:pPr>
        <w:jc w:val="both"/>
        <w:rPr>
          <w:rFonts w:ascii="Times New Roman" w:hAnsi="Times New Roman"/>
        </w:rPr>
      </w:pPr>
    </w:p>
    <w:p w:rsidR="00B2619C" w:rsidRPr="009E08BF" w:rsidRDefault="00B2619C" w:rsidP="00B2619C">
      <w:pPr>
        <w:jc w:val="both"/>
        <w:rPr>
          <w:rFonts w:ascii="Times New Roman" w:hAnsi="Times New Roman"/>
          <w:b/>
        </w:rPr>
      </w:pPr>
      <w:r w:rsidRPr="009E08BF">
        <w:rPr>
          <w:rFonts w:ascii="Times New Roman" w:hAnsi="Times New Roman"/>
          <w:b/>
        </w:rPr>
        <w:t>INVESTIGACIÓN</w:t>
      </w:r>
    </w:p>
    <w:p w:rsidR="00B2619C" w:rsidRPr="005E7F44" w:rsidRDefault="00B2619C" w:rsidP="00B2619C">
      <w:pPr>
        <w:jc w:val="both"/>
        <w:rPr>
          <w:rFonts w:ascii="Times New Roman" w:hAnsi="Times New Roman"/>
          <w:b/>
          <w:u w:val="single"/>
        </w:rPr>
      </w:pPr>
    </w:p>
    <w:p w:rsidR="00B2619C" w:rsidRPr="005E7F44" w:rsidRDefault="00B2619C" w:rsidP="00B2619C">
      <w:pPr>
        <w:jc w:val="both"/>
        <w:rPr>
          <w:rFonts w:ascii="Times New Roman" w:hAnsi="Times New Roman"/>
        </w:rPr>
      </w:pPr>
      <w:r w:rsidRPr="005E7F44">
        <w:rPr>
          <w:rFonts w:ascii="Times New Roman" w:hAnsi="Times New Roman"/>
        </w:rPr>
        <w:t>La relación de la Universidad Distrital con la región implica un compromiso social de cobertura, calidad y construcción de un nuevo escenario en el cual la comunidad académica sea un agente activo de la creación de soluciones alternativas a los problemas de la ciudad y el país. Para esto, definir condiciones institucionales tendientes al desarrollo de la investigación de alto impacto, se constituye en un elemento fundamental de la gestión de la Universidad. En este caso la investigación está orientada hacia la formación de investigadores (formación de doctores), estrategia que busca mejorar las competencias generales que todo potencial investigador debe tener, siendo un punto de partida para que los miembros de los grupos de investigación puedan desarrollar actividades investigativas de alto impacto para el desarrollo humano y social. La realización de estímulos para la conformación y consolidación de semilleros y grupos de investigación, siendo los semilleros de investigación comunidades de aprendizaje organizadas por estudiantes que cuentan con la orientación de profesores, de una o de diferentes áreas del conocimiento, cuya articulación con los grupos e institutos de investigación, los convierte en los principales estamentos de formación y de relevo generacional de los grupos de investigación. La cofinanciación de proyectos de investigación es la estrategia para fortalecer la visibilidad de las investigaciones que adelanta la universidad y optimizar sus recursos. Así mismo, se enfoca a la definición de las bases normativas como la política de fomento a la investigación, creación e innovación y producción intelectual entre otros.</w:t>
      </w:r>
    </w:p>
    <w:p w:rsidR="00B2619C" w:rsidRPr="005E7F44" w:rsidRDefault="00B2619C" w:rsidP="00B2619C">
      <w:pPr>
        <w:jc w:val="both"/>
        <w:rPr>
          <w:rFonts w:ascii="Times New Roman" w:hAnsi="Times New Roman"/>
        </w:rPr>
      </w:pPr>
    </w:p>
    <w:p w:rsidR="00B2619C" w:rsidRPr="009E08BF" w:rsidRDefault="00B2619C" w:rsidP="00B2619C">
      <w:pPr>
        <w:jc w:val="both"/>
        <w:rPr>
          <w:rFonts w:ascii="Times New Roman" w:hAnsi="Times New Roman"/>
          <w:b/>
        </w:rPr>
      </w:pPr>
      <w:r w:rsidRPr="009E08BF">
        <w:rPr>
          <w:rFonts w:ascii="Times New Roman" w:hAnsi="Times New Roman"/>
          <w:b/>
        </w:rPr>
        <w:t>EXTENSIÓN</w:t>
      </w:r>
    </w:p>
    <w:p w:rsidR="00B2619C" w:rsidRPr="005E7F44" w:rsidRDefault="00B2619C" w:rsidP="00B2619C">
      <w:pPr>
        <w:jc w:val="both"/>
        <w:rPr>
          <w:rFonts w:ascii="Times New Roman" w:hAnsi="Times New Roman"/>
          <w:b/>
          <w:u w:val="single"/>
        </w:rPr>
      </w:pPr>
    </w:p>
    <w:p w:rsidR="00B2619C" w:rsidRPr="005E7F44" w:rsidRDefault="00B2619C" w:rsidP="00B2619C">
      <w:pPr>
        <w:jc w:val="both"/>
        <w:rPr>
          <w:rFonts w:ascii="Times New Roman" w:hAnsi="Times New Roman"/>
        </w:rPr>
      </w:pPr>
      <w:r w:rsidRPr="005E7F44">
        <w:rPr>
          <w:rFonts w:ascii="Times New Roman" w:hAnsi="Times New Roman"/>
        </w:rPr>
        <w:t xml:space="preserve">El contexto de la extensión en la Universidad Distrital tiene por misión promover la utilidad social del conocimiento y proyectar en la forma más amplia posible a todas las esferas de la nación cada uno de los saberes, estudios e investigaciones de la universidad. Es claro, que el propósito común es facilitar a las comunidades y demás interesados beneficiarse de la </w:t>
      </w:r>
      <w:r w:rsidRPr="005E7F44">
        <w:rPr>
          <w:rFonts w:ascii="Times New Roman" w:hAnsi="Times New Roman"/>
        </w:rPr>
        <w:lastRenderedPageBreak/>
        <w:t>cultura universitaria, contribuir al desarrollo económico y social, y privilegiar la elevación del conocimiento, y de la razón transformando la técnica.</w:t>
      </w:r>
    </w:p>
    <w:p w:rsidR="00B2619C" w:rsidRPr="005E7F44" w:rsidRDefault="00B2619C" w:rsidP="00B2619C">
      <w:pPr>
        <w:jc w:val="both"/>
        <w:rPr>
          <w:rFonts w:ascii="Times New Roman" w:hAnsi="Times New Roman"/>
        </w:rPr>
      </w:pPr>
    </w:p>
    <w:p w:rsidR="00B2619C" w:rsidRPr="005E7F44" w:rsidRDefault="00B2619C" w:rsidP="00B2619C">
      <w:pPr>
        <w:jc w:val="both"/>
        <w:rPr>
          <w:rFonts w:ascii="Times New Roman" w:hAnsi="Times New Roman"/>
        </w:rPr>
      </w:pPr>
      <w:r w:rsidRPr="005E7F44">
        <w:rPr>
          <w:rFonts w:ascii="Times New Roman" w:hAnsi="Times New Roman"/>
        </w:rPr>
        <w:t xml:space="preserve">La estrategia de extensión está dirigida a transferir conocimiento, a adquirir nuevas experiencias nacidas de la práctica cotidiana y de las relaciones con el mundo de los servicios o de la producción y busca tener un impacto en la solución de problemas urgentes y reales de los sectores o estamentos donde actúa, acercando la Universidad a la empresa. De esta forma es un novedoso instrumento de socialización de lo aprendido, de verificación de los propósitos misionales. </w:t>
      </w:r>
    </w:p>
    <w:p w:rsidR="00B2619C" w:rsidRPr="005E7F44" w:rsidRDefault="00B2619C" w:rsidP="00B2619C">
      <w:pPr>
        <w:jc w:val="both"/>
        <w:rPr>
          <w:rFonts w:ascii="Times New Roman" w:hAnsi="Times New Roman"/>
        </w:rPr>
      </w:pPr>
    </w:p>
    <w:p w:rsidR="00B2619C" w:rsidRPr="005E7F44" w:rsidRDefault="00B2619C" w:rsidP="00B2619C">
      <w:pPr>
        <w:jc w:val="both"/>
        <w:rPr>
          <w:rFonts w:ascii="Times New Roman" w:hAnsi="Times New Roman"/>
        </w:rPr>
      </w:pPr>
      <w:r w:rsidRPr="005E7F44">
        <w:rPr>
          <w:rFonts w:ascii="Times New Roman" w:hAnsi="Times New Roman"/>
        </w:rPr>
        <w:t xml:space="preserve">El Plan Estratégico de Desarrollo 2008-2016 establece los lineamientos y referentes desde los cuales se interpreta la realidad Institucional en relación con la función actual de la educación superior en el entorno mundial y plantea estrategias para asumir los retos de una universidad con pertinencia y calidad hacia el 2016. Entre ellos el renovarse y organizarse a sí misma para posicionarse como la mayor universidad pública de la Ciudad Región de Bogotá y una de la mejores del país. </w:t>
      </w:r>
    </w:p>
    <w:p w:rsidR="00B2619C" w:rsidRPr="005E7F44" w:rsidRDefault="00B2619C" w:rsidP="00B2619C">
      <w:pPr>
        <w:jc w:val="both"/>
        <w:rPr>
          <w:rFonts w:ascii="Times New Roman" w:hAnsi="Times New Roman"/>
          <w:b/>
          <w:u w:val="single"/>
        </w:rPr>
      </w:pPr>
    </w:p>
    <w:p w:rsidR="00B2619C" w:rsidRPr="009E08BF" w:rsidRDefault="00B2619C" w:rsidP="00B2619C">
      <w:pPr>
        <w:jc w:val="both"/>
        <w:rPr>
          <w:rFonts w:ascii="Times New Roman" w:hAnsi="Times New Roman"/>
          <w:b/>
        </w:rPr>
      </w:pPr>
      <w:r w:rsidRPr="009E08BF">
        <w:rPr>
          <w:rFonts w:ascii="Times New Roman" w:hAnsi="Times New Roman"/>
          <w:b/>
        </w:rPr>
        <w:t xml:space="preserve">INVERSIÓN </w:t>
      </w:r>
    </w:p>
    <w:p w:rsidR="00B2619C" w:rsidRPr="005E7F44" w:rsidRDefault="00B2619C" w:rsidP="00B2619C">
      <w:pPr>
        <w:jc w:val="both"/>
        <w:rPr>
          <w:rFonts w:ascii="Times New Roman" w:hAnsi="Times New Roman"/>
          <w:b/>
          <w:u w:val="single"/>
        </w:rPr>
      </w:pPr>
    </w:p>
    <w:p w:rsidR="00B2619C" w:rsidRPr="005E7F44" w:rsidRDefault="00B2619C" w:rsidP="00B2619C">
      <w:pPr>
        <w:jc w:val="both"/>
        <w:rPr>
          <w:rFonts w:ascii="Times New Roman" w:hAnsi="Times New Roman"/>
        </w:rPr>
      </w:pPr>
      <w:r w:rsidRPr="005E7F44">
        <w:rPr>
          <w:rFonts w:ascii="Times New Roman" w:hAnsi="Times New Roman"/>
        </w:rPr>
        <w:t>La Universidad Distrital ha estructurado, en el marco del Plan Estratégico de Desarrollo “Saberes conocimiento e investigación de alto impacto para el desarrollo humano y social”, el Plan Trienal 2011 – 2013 y el Plan de Acción 2012-2016 que se ejecuta mediante ocho proyectos de inversión financiados con recursos propios. La inversión programada es de $434.332 millones, de los cuales se destinan $288.000 millones (66%) a la infraestructura física.</w:t>
      </w:r>
    </w:p>
    <w:p w:rsidR="00B2619C" w:rsidRPr="005E7F44" w:rsidRDefault="00B2619C" w:rsidP="00B2619C">
      <w:pPr>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200"/>
      </w:tblGrid>
      <w:tr w:rsidR="00B2619C" w:rsidRPr="005E7F44">
        <w:tc>
          <w:tcPr>
            <w:tcW w:w="5778" w:type="dxa"/>
          </w:tcPr>
          <w:p w:rsidR="00B2619C" w:rsidRPr="005E7F44" w:rsidRDefault="00B2619C" w:rsidP="00C976F2">
            <w:pPr>
              <w:jc w:val="both"/>
              <w:rPr>
                <w:rFonts w:ascii="Times New Roman" w:hAnsi="Times New Roman"/>
                <w:b/>
              </w:rPr>
            </w:pPr>
            <w:r w:rsidRPr="005E7F44">
              <w:rPr>
                <w:rFonts w:ascii="Times New Roman" w:hAnsi="Times New Roman"/>
                <w:b/>
              </w:rPr>
              <w:t>Proyecto</w:t>
            </w:r>
          </w:p>
        </w:tc>
        <w:tc>
          <w:tcPr>
            <w:tcW w:w="3200" w:type="dxa"/>
          </w:tcPr>
          <w:p w:rsidR="00B2619C" w:rsidRPr="005E7F44" w:rsidRDefault="00B2619C" w:rsidP="00C976F2">
            <w:pPr>
              <w:jc w:val="both"/>
              <w:rPr>
                <w:rFonts w:ascii="Times New Roman" w:hAnsi="Times New Roman"/>
                <w:b/>
              </w:rPr>
            </w:pPr>
            <w:r w:rsidRPr="005E7F44">
              <w:rPr>
                <w:rFonts w:ascii="Times New Roman" w:hAnsi="Times New Roman"/>
                <w:b/>
              </w:rPr>
              <w:t>Inversión programada 2012-2016 en millones de pesos</w:t>
            </w:r>
          </w:p>
        </w:tc>
      </w:tr>
      <w:tr w:rsidR="00B2619C" w:rsidRPr="005E7F44">
        <w:tc>
          <w:tcPr>
            <w:tcW w:w="5778" w:type="dxa"/>
          </w:tcPr>
          <w:p w:rsidR="00B2619C" w:rsidRPr="005E7F44" w:rsidRDefault="00B2619C" w:rsidP="00C976F2">
            <w:pPr>
              <w:jc w:val="both"/>
              <w:rPr>
                <w:rFonts w:ascii="Times New Roman" w:hAnsi="Times New Roman"/>
              </w:rPr>
            </w:pPr>
            <w:r w:rsidRPr="005E7F44">
              <w:rPr>
                <w:rFonts w:ascii="Times New Roman" w:hAnsi="Times New Roman"/>
              </w:rPr>
              <w:t>Construcción Nueva Sede Universitaria Ciudadela el Porvenir Bosa</w:t>
            </w:r>
          </w:p>
        </w:tc>
        <w:tc>
          <w:tcPr>
            <w:tcW w:w="3200" w:type="dxa"/>
          </w:tcPr>
          <w:p w:rsidR="00B2619C" w:rsidRPr="005E7F44" w:rsidRDefault="00B2619C" w:rsidP="00C976F2">
            <w:pPr>
              <w:jc w:val="center"/>
              <w:rPr>
                <w:rFonts w:ascii="Times New Roman" w:hAnsi="Times New Roman"/>
              </w:rPr>
            </w:pPr>
            <w:r w:rsidRPr="005E7F44">
              <w:rPr>
                <w:rFonts w:ascii="Times New Roman" w:hAnsi="Times New Roman"/>
              </w:rPr>
              <w:t>119.000</w:t>
            </w:r>
          </w:p>
        </w:tc>
      </w:tr>
      <w:tr w:rsidR="00B2619C" w:rsidRPr="005E7F44">
        <w:tc>
          <w:tcPr>
            <w:tcW w:w="5778" w:type="dxa"/>
          </w:tcPr>
          <w:p w:rsidR="00B2619C" w:rsidRPr="005E7F44" w:rsidRDefault="00B2619C" w:rsidP="00C976F2">
            <w:pPr>
              <w:jc w:val="both"/>
              <w:rPr>
                <w:rFonts w:ascii="Times New Roman" w:hAnsi="Times New Roman"/>
              </w:rPr>
            </w:pPr>
            <w:r w:rsidRPr="005E7F44">
              <w:rPr>
                <w:rFonts w:ascii="Times New Roman" w:hAnsi="Times New Roman"/>
              </w:rPr>
              <w:t>Mejoramiento y Ampliación de la Infraestructura Física de la Universidad</w:t>
            </w:r>
          </w:p>
        </w:tc>
        <w:tc>
          <w:tcPr>
            <w:tcW w:w="3200" w:type="dxa"/>
          </w:tcPr>
          <w:p w:rsidR="00B2619C" w:rsidRPr="005E7F44" w:rsidRDefault="00B2619C" w:rsidP="00C976F2">
            <w:pPr>
              <w:jc w:val="center"/>
              <w:rPr>
                <w:rFonts w:ascii="Times New Roman" w:hAnsi="Times New Roman"/>
              </w:rPr>
            </w:pPr>
            <w:r w:rsidRPr="005E7F44">
              <w:rPr>
                <w:rFonts w:ascii="Times New Roman" w:hAnsi="Times New Roman"/>
              </w:rPr>
              <w:t>169.336</w:t>
            </w:r>
          </w:p>
        </w:tc>
      </w:tr>
      <w:tr w:rsidR="00B2619C" w:rsidRPr="005E7F44">
        <w:tc>
          <w:tcPr>
            <w:tcW w:w="5778" w:type="dxa"/>
          </w:tcPr>
          <w:p w:rsidR="00B2619C" w:rsidRPr="005E7F44" w:rsidRDefault="00B2619C" w:rsidP="00C976F2">
            <w:pPr>
              <w:jc w:val="both"/>
              <w:rPr>
                <w:rFonts w:ascii="Times New Roman" w:hAnsi="Times New Roman"/>
              </w:rPr>
            </w:pPr>
            <w:r w:rsidRPr="005E7F44">
              <w:rPr>
                <w:rFonts w:ascii="Times New Roman" w:hAnsi="Times New Roman"/>
              </w:rPr>
              <w:t>Dotación Laboratorios</w:t>
            </w:r>
          </w:p>
        </w:tc>
        <w:tc>
          <w:tcPr>
            <w:tcW w:w="3200" w:type="dxa"/>
          </w:tcPr>
          <w:p w:rsidR="00B2619C" w:rsidRPr="005E7F44" w:rsidRDefault="00B2619C" w:rsidP="00C976F2">
            <w:pPr>
              <w:jc w:val="center"/>
              <w:rPr>
                <w:rFonts w:ascii="Times New Roman" w:hAnsi="Times New Roman"/>
              </w:rPr>
            </w:pPr>
            <w:r w:rsidRPr="005E7F44">
              <w:rPr>
                <w:rFonts w:ascii="Times New Roman" w:hAnsi="Times New Roman"/>
              </w:rPr>
              <w:t>51.298</w:t>
            </w:r>
          </w:p>
        </w:tc>
      </w:tr>
      <w:tr w:rsidR="00B2619C" w:rsidRPr="005E7F44">
        <w:tc>
          <w:tcPr>
            <w:tcW w:w="5778" w:type="dxa"/>
          </w:tcPr>
          <w:p w:rsidR="00B2619C" w:rsidRPr="005E7F44" w:rsidRDefault="00B2619C" w:rsidP="00C976F2">
            <w:pPr>
              <w:jc w:val="both"/>
              <w:rPr>
                <w:rFonts w:ascii="Times New Roman" w:hAnsi="Times New Roman"/>
              </w:rPr>
            </w:pPr>
            <w:r w:rsidRPr="005E7F44">
              <w:rPr>
                <w:rFonts w:ascii="Times New Roman" w:hAnsi="Times New Roman"/>
              </w:rPr>
              <w:t>Dotación y Actualización Biblioteca</w:t>
            </w:r>
          </w:p>
        </w:tc>
        <w:tc>
          <w:tcPr>
            <w:tcW w:w="3200" w:type="dxa"/>
          </w:tcPr>
          <w:p w:rsidR="00B2619C" w:rsidRPr="005E7F44" w:rsidRDefault="00B2619C" w:rsidP="00C976F2">
            <w:pPr>
              <w:jc w:val="center"/>
              <w:rPr>
                <w:rFonts w:ascii="Times New Roman" w:hAnsi="Times New Roman"/>
              </w:rPr>
            </w:pPr>
            <w:r w:rsidRPr="005E7F44">
              <w:rPr>
                <w:rFonts w:ascii="Times New Roman" w:hAnsi="Times New Roman"/>
              </w:rPr>
              <w:t>26.185</w:t>
            </w:r>
          </w:p>
        </w:tc>
      </w:tr>
      <w:tr w:rsidR="00B2619C" w:rsidRPr="005E7F44">
        <w:tc>
          <w:tcPr>
            <w:tcW w:w="5778" w:type="dxa"/>
          </w:tcPr>
          <w:p w:rsidR="00B2619C" w:rsidRPr="005E7F44" w:rsidRDefault="00B2619C" w:rsidP="00C976F2">
            <w:pPr>
              <w:jc w:val="both"/>
              <w:rPr>
                <w:rFonts w:ascii="Times New Roman" w:hAnsi="Times New Roman"/>
              </w:rPr>
            </w:pPr>
            <w:r w:rsidRPr="005E7F44">
              <w:rPr>
                <w:rFonts w:ascii="Times New Roman" w:hAnsi="Times New Roman"/>
              </w:rPr>
              <w:t>Promoción de la Investigación y Desarrollo Científico</w:t>
            </w:r>
          </w:p>
        </w:tc>
        <w:tc>
          <w:tcPr>
            <w:tcW w:w="3200" w:type="dxa"/>
          </w:tcPr>
          <w:p w:rsidR="00B2619C" w:rsidRPr="005E7F44" w:rsidRDefault="00B2619C" w:rsidP="00C976F2">
            <w:pPr>
              <w:jc w:val="center"/>
              <w:rPr>
                <w:rFonts w:ascii="Times New Roman" w:hAnsi="Times New Roman"/>
              </w:rPr>
            </w:pPr>
            <w:r w:rsidRPr="005E7F44">
              <w:rPr>
                <w:rFonts w:ascii="Times New Roman" w:hAnsi="Times New Roman"/>
              </w:rPr>
              <w:t>23.558</w:t>
            </w:r>
          </w:p>
        </w:tc>
      </w:tr>
      <w:tr w:rsidR="00B2619C" w:rsidRPr="005E7F44">
        <w:tc>
          <w:tcPr>
            <w:tcW w:w="5778" w:type="dxa"/>
          </w:tcPr>
          <w:p w:rsidR="00B2619C" w:rsidRPr="005E7F44" w:rsidRDefault="00B2619C" w:rsidP="00C976F2">
            <w:pPr>
              <w:jc w:val="both"/>
              <w:rPr>
                <w:rFonts w:ascii="Times New Roman" w:hAnsi="Times New Roman"/>
              </w:rPr>
            </w:pPr>
            <w:r w:rsidRPr="005E7F44">
              <w:rPr>
                <w:rFonts w:ascii="Times New Roman" w:hAnsi="Times New Roman"/>
              </w:rPr>
              <w:t>Desarrollo y Fortalecimiento de Doctorados</w:t>
            </w:r>
          </w:p>
        </w:tc>
        <w:tc>
          <w:tcPr>
            <w:tcW w:w="3200" w:type="dxa"/>
          </w:tcPr>
          <w:p w:rsidR="00B2619C" w:rsidRPr="005E7F44" w:rsidRDefault="00B2619C" w:rsidP="00C976F2">
            <w:pPr>
              <w:jc w:val="center"/>
              <w:rPr>
                <w:rFonts w:ascii="Times New Roman" w:hAnsi="Times New Roman"/>
              </w:rPr>
            </w:pPr>
            <w:r w:rsidRPr="005E7F44">
              <w:rPr>
                <w:rFonts w:ascii="Times New Roman" w:hAnsi="Times New Roman"/>
              </w:rPr>
              <w:t>15.246</w:t>
            </w:r>
          </w:p>
        </w:tc>
      </w:tr>
      <w:tr w:rsidR="00B2619C" w:rsidRPr="005E7F44">
        <w:tc>
          <w:tcPr>
            <w:tcW w:w="5778" w:type="dxa"/>
          </w:tcPr>
          <w:p w:rsidR="00B2619C" w:rsidRPr="005E7F44" w:rsidRDefault="00B2619C" w:rsidP="00C976F2">
            <w:pPr>
              <w:jc w:val="both"/>
              <w:rPr>
                <w:rFonts w:ascii="Times New Roman" w:hAnsi="Times New Roman"/>
              </w:rPr>
            </w:pPr>
            <w:r w:rsidRPr="005E7F44">
              <w:rPr>
                <w:rFonts w:ascii="Times New Roman" w:hAnsi="Times New Roman"/>
              </w:rPr>
              <w:t>Sistema Integral de Información y modernización y fortalecimiento institucional</w:t>
            </w:r>
          </w:p>
        </w:tc>
        <w:tc>
          <w:tcPr>
            <w:tcW w:w="3200" w:type="dxa"/>
          </w:tcPr>
          <w:p w:rsidR="00B2619C" w:rsidRPr="005E7F44" w:rsidRDefault="00B2619C" w:rsidP="00C976F2">
            <w:pPr>
              <w:jc w:val="center"/>
              <w:rPr>
                <w:rFonts w:ascii="Times New Roman" w:hAnsi="Times New Roman"/>
              </w:rPr>
            </w:pPr>
            <w:r w:rsidRPr="005E7F44">
              <w:rPr>
                <w:rFonts w:ascii="Times New Roman" w:hAnsi="Times New Roman"/>
              </w:rPr>
              <w:t>29.410</w:t>
            </w:r>
          </w:p>
        </w:tc>
      </w:tr>
      <w:tr w:rsidR="00B2619C" w:rsidRPr="005E7F44">
        <w:tc>
          <w:tcPr>
            <w:tcW w:w="5778" w:type="dxa"/>
          </w:tcPr>
          <w:p w:rsidR="00B2619C" w:rsidRPr="005E7F44" w:rsidRDefault="00B2619C" w:rsidP="00C976F2">
            <w:pPr>
              <w:jc w:val="both"/>
              <w:rPr>
                <w:rFonts w:ascii="Times New Roman" w:hAnsi="Times New Roman"/>
                <w:b/>
              </w:rPr>
            </w:pPr>
            <w:r w:rsidRPr="005E7F44">
              <w:rPr>
                <w:rFonts w:ascii="Times New Roman" w:hAnsi="Times New Roman"/>
                <w:b/>
              </w:rPr>
              <w:t>Total</w:t>
            </w:r>
          </w:p>
        </w:tc>
        <w:tc>
          <w:tcPr>
            <w:tcW w:w="3200" w:type="dxa"/>
          </w:tcPr>
          <w:p w:rsidR="00B2619C" w:rsidRPr="005E7F44" w:rsidRDefault="00B2619C" w:rsidP="00C976F2">
            <w:pPr>
              <w:jc w:val="center"/>
              <w:rPr>
                <w:rFonts w:ascii="Times New Roman" w:hAnsi="Times New Roman"/>
                <w:b/>
              </w:rPr>
            </w:pPr>
            <w:r w:rsidRPr="005E7F44">
              <w:rPr>
                <w:rFonts w:ascii="Times New Roman" w:hAnsi="Times New Roman"/>
                <w:b/>
              </w:rPr>
              <w:t>434.332</w:t>
            </w:r>
          </w:p>
        </w:tc>
      </w:tr>
    </w:tbl>
    <w:p w:rsidR="00B2619C" w:rsidRPr="005E7F44" w:rsidRDefault="00B2619C" w:rsidP="00B2619C">
      <w:pPr>
        <w:jc w:val="both"/>
        <w:rPr>
          <w:rFonts w:ascii="Times New Roman" w:hAnsi="Times New Roman"/>
          <w:sz w:val="18"/>
        </w:rPr>
      </w:pPr>
      <w:r w:rsidRPr="005E7F44">
        <w:rPr>
          <w:rFonts w:ascii="Times New Roman" w:hAnsi="Times New Roman"/>
          <w:sz w:val="18"/>
        </w:rPr>
        <w:t>Fuente: Secretaría Distrital de Planeación, SEGPLAN, 6 de diciembre de 2012</w:t>
      </w:r>
    </w:p>
    <w:p w:rsidR="00B2619C" w:rsidRPr="005E7F44" w:rsidRDefault="00B2619C" w:rsidP="00B2619C">
      <w:pPr>
        <w:jc w:val="both"/>
        <w:rPr>
          <w:rFonts w:ascii="Times New Roman" w:hAnsi="Times New Roman"/>
        </w:rPr>
      </w:pPr>
    </w:p>
    <w:p w:rsidR="00B2619C" w:rsidRPr="005E7F44" w:rsidRDefault="00B2619C" w:rsidP="00B2619C">
      <w:pPr>
        <w:jc w:val="both"/>
        <w:rPr>
          <w:rFonts w:ascii="Times New Roman" w:hAnsi="Times New Roman"/>
        </w:rPr>
      </w:pPr>
      <w:r w:rsidRPr="005E7F44">
        <w:rPr>
          <w:rFonts w:ascii="Times New Roman" w:hAnsi="Times New Roman"/>
          <w:b/>
        </w:rPr>
        <w:t xml:space="preserve">Mejoramiento y Ampliación de la Infraestructura Física de la Universidad, y Construcción Nueva Sede Universitaria Ciudadela el Porvenir Bosa: </w:t>
      </w:r>
      <w:r w:rsidRPr="005E7F44">
        <w:rPr>
          <w:rFonts w:ascii="Times New Roman" w:hAnsi="Times New Roman"/>
        </w:rPr>
        <w:t xml:space="preserve">Estos dos proyectos tienen como objetivo mejorar y ampliar la infraestructura física de la universidad, de acuerdo con estándares vigentes para construcciones de educación superior y la normatividad urbanística actual, con el fin de atender los requerimientos y necesidades de </w:t>
      </w:r>
      <w:r w:rsidRPr="005E7F44">
        <w:rPr>
          <w:rFonts w:ascii="Times New Roman" w:hAnsi="Times New Roman"/>
        </w:rPr>
        <w:lastRenderedPageBreak/>
        <w:t>la comunidad universitaria. El proyecto comprende la implementación de un Sistema Integral para la Planeación, Administración y Protocolo de Mantenimiento de la Planta Física general, de tal forma que se reglamente la organización espacial, el uso y administración de los espacios para el optimo funcionamiento de la infraestructura Institucional, y la elaboración de planes de reordenamiento y reestructuración estratégica de la planta física existente, fortaleciendo la optimización de los recursos, proyectando establecimientos adecuados que permitan mejorar con eficacia la integridad e identidad universitaria, la adquisición de predios, y procesos de construcción, mejoramiento y ampliación de las sedes.</w:t>
      </w:r>
    </w:p>
    <w:p w:rsidR="00B2619C" w:rsidRPr="005E7F44" w:rsidRDefault="00B2619C" w:rsidP="00B2619C">
      <w:pPr>
        <w:jc w:val="both"/>
        <w:rPr>
          <w:rFonts w:ascii="Times New Roman" w:hAnsi="Times New Roman"/>
          <w:b/>
        </w:rPr>
      </w:pPr>
    </w:p>
    <w:p w:rsidR="00B2619C" w:rsidRPr="005E7F44" w:rsidRDefault="00B2619C" w:rsidP="00B2619C">
      <w:pPr>
        <w:jc w:val="both"/>
        <w:rPr>
          <w:rFonts w:ascii="Times New Roman" w:hAnsi="Times New Roman"/>
        </w:rPr>
      </w:pPr>
      <w:r w:rsidRPr="005E7F44">
        <w:rPr>
          <w:rFonts w:ascii="Times New Roman" w:hAnsi="Times New Roman"/>
          <w:b/>
        </w:rPr>
        <w:t xml:space="preserve">Dotación Laboratorios: </w:t>
      </w:r>
      <w:r w:rsidRPr="005E7F44">
        <w:rPr>
          <w:rFonts w:ascii="Times New Roman" w:hAnsi="Times New Roman"/>
        </w:rPr>
        <w:t>Mediante este Proyecto</w:t>
      </w:r>
      <w:r w:rsidR="00400151">
        <w:rPr>
          <w:rFonts w:ascii="Times New Roman" w:hAnsi="Times New Roman"/>
        </w:rPr>
        <w:t xml:space="preserve"> </w:t>
      </w:r>
      <w:r w:rsidRPr="005E7F44">
        <w:rPr>
          <w:rFonts w:ascii="Times New Roman" w:hAnsi="Times New Roman"/>
        </w:rPr>
        <w:t>se pretende generar las condiciones de infraestructura de los laboratorios, para el desarrollo del nuevo modelo pedagógico, la evaluación por créditos y los procesos de acreditación de programas curriculares, y promover una cultura académica basada en la formación en el aula como espacio adecuado a la investigación y práctica de un tema o un área específica, que contribuya a desarrollar habilidades y competencias cognoscitivas y metodológicas apropiadas para abordar el estudio de las diferentes disciplinas de la universidad, del mismo modo mejorar la calidad de la educación mediante la generación y apoyo de nuevas prácticas pedagógicas, en los programas de pregrado y posgrado, desde la utilización adecuada de los laboratorios disponibles en la universidad, queriendo llegar a la calidad esperada para atender las metas del Plan Decenal y el Plan Estratégico de Desarrollo 2007-2016 y los planes trienales.</w:t>
      </w:r>
    </w:p>
    <w:p w:rsidR="00B2619C" w:rsidRPr="005E7F44" w:rsidRDefault="00B2619C" w:rsidP="00B2619C">
      <w:pPr>
        <w:jc w:val="both"/>
        <w:rPr>
          <w:rFonts w:ascii="Times New Roman" w:hAnsi="Times New Roman"/>
          <w:b/>
        </w:rPr>
      </w:pPr>
    </w:p>
    <w:p w:rsidR="00B2619C" w:rsidRPr="005E7F44" w:rsidRDefault="00B2619C" w:rsidP="00B2619C">
      <w:pPr>
        <w:jc w:val="both"/>
        <w:rPr>
          <w:rFonts w:ascii="Times New Roman" w:hAnsi="Times New Roman"/>
        </w:rPr>
      </w:pPr>
      <w:r w:rsidRPr="005E7F44">
        <w:rPr>
          <w:rFonts w:ascii="Times New Roman" w:hAnsi="Times New Roman"/>
          <w:b/>
        </w:rPr>
        <w:t xml:space="preserve">Dotación y Actualización Biblioteca: </w:t>
      </w:r>
      <w:r w:rsidRPr="005E7F44">
        <w:rPr>
          <w:rFonts w:ascii="Times New Roman" w:hAnsi="Times New Roman"/>
        </w:rPr>
        <w:t>La Universidad Distrital pretende con este proyecto desarrollar un sistema de bibliotecas en respuesta a la estructura orgánica actual de biblioteca con la necesaria incorporación de los conceptos de trabajo solidario, a través de la dotación de los espacios de la infraestructura física del sistema bibliotecas (nuevas bibliotecas y unidades de información bibliográfica existentes), como también la implementación de una infraestructura tecnológica de punta, soportada en la modernización tecnológica que permita acceder a los recursos de información, a través de las nuevas tecnologías de la información y la comunicación para la prestación de los servicios bibliográficos, renovando las colecciones con información bibliográfica de calidad, actualizada, oportuna y pertinente en cada una de las unidades de información bibliográfica para los usuarios y beneficiarios del servicio.</w:t>
      </w:r>
    </w:p>
    <w:p w:rsidR="00B2619C" w:rsidRPr="005E7F44" w:rsidRDefault="00B2619C" w:rsidP="00B2619C">
      <w:pPr>
        <w:jc w:val="both"/>
        <w:rPr>
          <w:rFonts w:ascii="Times New Roman" w:hAnsi="Times New Roman"/>
          <w:b/>
        </w:rPr>
      </w:pPr>
    </w:p>
    <w:p w:rsidR="00B2619C" w:rsidRPr="005E7F44" w:rsidRDefault="00B2619C" w:rsidP="00B2619C">
      <w:pPr>
        <w:jc w:val="both"/>
        <w:rPr>
          <w:rFonts w:ascii="Times New Roman" w:hAnsi="Times New Roman"/>
        </w:rPr>
      </w:pPr>
      <w:r w:rsidRPr="005E7F44">
        <w:rPr>
          <w:rFonts w:ascii="Times New Roman" w:hAnsi="Times New Roman"/>
          <w:b/>
        </w:rPr>
        <w:t>Promoción de la Investigación y Desarrollo Científico</w:t>
      </w:r>
      <w:r w:rsidRPr="005E7F44">
        <w:rPr>
          <w:rFonts w:ascii="Times New Roman" w:hAnsi="Times New Roman"/>
        </w:rPr>
        <w:t xml:space="preserve">: Este Proyecto busca fomentar la investigación mediante el establecimiento de políticas de apoyo a los investigadores, fomento a proyectos de investigación de toda índole, creación de laboratorios especializados de investigación, protección a la propiedad intelectual, creación del fondo de investigaciones, reforma orgánica, entre otros, que permitan de una forma fluida el intercambio de resultados de investigación con los directos beneficiarios a través de convocatorias para proyectos de investigación de diferentes categorías. De igual forma, contar con medios de socialización y divulgación de resultados de investigación a través de la Web, radio y prensa escrita que permita un contacto directo, un centro de difusión real de resultados y medios de contacto con los investigadores. El proyecto permitirá entre otros aspectos liderar el desarrollo investigativo , y encaminar la actividades de investigación a la socialización de resultados con contenido de transformación </w:t>
      </w:r>
      <w:r w:rsidR="00400151" w:rsidRPr="005E7F44">
        <w:rPr>
          <w:rFonts w:ascii="Times New Roman" w:hAnsi="Times New Roman"/>
        </w:rPr>
        <w:t>tecnológica</w:t>
      </w:r>
      <w:r w:rsidRPr="005E7F44">
        <w:rPr>
          <w:rFonts w:ascii="Times New Roman" w:hAnsi="Times New Roman"/>
        </w:rPr>
        <w:t xml:space="preserve"> y desarrollo </w:t>
      </w:r>
      <w:r w:rsidRPr="005E7F44">
        <w:rPr>
          <w:rFonts w:ascii="Times New Roman" w:hAnsi="Times New Roman"/>
        </w:rPr>
        <w:lastRenderedPageBreak/>
        <w:t>sostenible en la comunidad académica y en sociedad en general, también contar con un modelo de gestión que garantice los recursos para el fomento y desarrollo de la investigación, como apoyo fundamental para el fortalecimiento del Sistema de Investigación de la Universidad a través de la apropiación de recursos propios y la administración de recursos externos aportados por organismos públicos o privados, como cofinanciación de actividades de investigación o innovación y generar una experiencia piloto de pre-incubación de proyectos tipo “Spin Off”, entendiendo que es coherente con la misión institucional el generar relaciones con el sector productivo y contribuir a la competitividad de la región con soluciones que incorporen a la economía el valor agregado del conocimiento, y reconociendo el potencial de innovación que tienen los grupos de investigación de la Universidad.</w:t>
      </w:r>
    </w:p>
    <w:p w:rsidR="00B2619C" w:rsidRPr="005E7F44" w:rsidRDefault="00B2619C" w:rsidP="00B2619C">
      <w:pPr>
        <w:jc w:val="both"/>
        <w:rPr>
          <w:rFonts w:ascii="Times New Roman" w:hAnsi="Times New Roman"/>
          <w:b/>
        </w:rPr>
      </w:pPr>
    </w:p>
    <w:p w:rsidR="00B2619C" w:rsidRPr="005E7F44" w:rsidRDefault="00B2619C" w:rsidP="00B2619C">
      <w:pPr>
        <w:jc w:val="both"/>
        <w:rPr>
          <w:rFonts w:ascii="Times New Roman" w:hAnsi="Times New Roman"/>
        </w:rPr>
      </w:pPr>
      <w:r w:rsidRPr="005E7F44">
        <w:rPr>
          <w:rFonts w:ascii="Times New Roman" w:hAnsi="Times New Roman"/>
          <w:b/>
        </w:rPr>
        <w:t>Desarrollo y Fortalecimiento de Doctorados:</w:t>
      </w:r>
      <w:r w:rsidRPr="005E7F44">
        <w:rPr>
          <w:rFonts w:ascii="Times New Roman" w:hAnsi="Times New Roman"/>
        </w:rPr>
        <w:t xml:space="preserve"> El principal objetivo de este Proyecto es fortalecer el nivel de formación doctoral para la producción de nuevo conocimiento en campos del saber específicos y para que sea reconocida como una institución investigadora, con pertinencia social y comprometida con la calidad, a través, del apoyo en la formación docente, el fortalecimiento de los doctorados de Educación y de Ingeniería, y la elaboración de los estudios necesarios para la creación de nuevos doctorados en los campos artístico, ambiental y de las ciencias sociales. </w:t>
      </w:r>
    </w:p>
    <w:p w:rsidR="00B2619C" w:rsidRPr="005E7F44" w:rsidRDefault="00B2619C" w:rsidP="00B2619C">
      <w:pPr>
        <w:jc w:val="both"/>
        <w:rPr>
          <w:rFonts w:ascii="Times New Roman" w:hAnsi="Times New Roman"/>
          <w:b/>
        </w:rPr>
      </w:pPr>
    </w:p>
    <w:p w:rsidR="00B2619C" w:rsidRPr="005E7F44" w:rsidRDefault="00B2619C" w:rsidP="00B2619C">
      <w:pPr>
        <w:jc w:val="both"/>
        <w:rPr>
          <w:rFonts w:ascii="Times New Roman" w:hAnsi="Times New Roman"/>
        </w:rPr>
      </w:pPr>
      <w:r w:rsidRPr="005E7F44">
        <w:rPr>
          <w:rFonts w:ascii="Times New Roman" w:hAnsi="Times New Roman"/>
          <w:b/>
        </w:rPr>
        <w:t xml:space="preserve">Sistema Integral de Información: </w:t>
      </w:r>
      <w:r w:rsidRPr="005E7F44">
        <w:rPr>
          <w:rFonts w:ascii="Times New Roman" w:hAnsi="Times New Roman"/>
        </w:rPr>
        <w:t>El Proyecto busca fortalecer y mejorar la infraestructura informática y de telecomunicaciones, suministrando a la comunidad universitaria herramientas que faciliten el trabajo y ayuden al manejo de la información en cuanto a conectividad, telefonía y capacidad de alojamiento de información. El primer componente tiende a ampliar el diseño y construcción de la arquitectura de la bodega de datos desarrollada en la fase anterior, bajo criterios de flexibilidad, escalabilidad y no dependencia tecnológica, cuyos componentes cumplan con los requisitos de gestión de información identificados e incluya fuentes de datos externas a las que administra la oficina asesora de sistemas. El segundo componente pretende ampliar la cobertura, la optimización y la migración a la telefonía IP de los esquemas telefónicos aún vigentes en la institución; optimizar el centro de gestión Olimpo, los cuartos de equipos de telecomunicaciones y la infraestructura de networking del campus universitario; y adquirir de un nuevo esquema de almacenamiento masivo.</w:t>
      </w:r>
    </w:p>
    <w:p w:rsidR="0020444B" w:rsidRDefault="0020444B" w:rsidP="00DF0973">
      <w:pPr>
        <w:rPr>
          <w:rFonts w:ascii="Times New Roman" w:hAnsi="Times New Roman"/>
        </w:rPr>
      </w:pPr>
    </w:p>
    <w:p w:rsidR="00693DC7" w:rsidRPr="001427D1" w:rsidRDefault="003B1AE5" w:rsidP="001427D1">
      <w:pPr>
        <w:pStyle w:val="Ttulo3"/>
        <w:rPr>
          <w:rFonts w:ascii="Times New Roman" w:hAnsi="Times New Roman"/>
        </w:rPr>
      </w:pPr>
      <w:bookmarkStart w:id="47" w:name="_Toc362358066"/>
      <w:r w:rsidRPr="001427D1">
        <w:rPr>
          <w:rFonts w:ascii="Times New Roman" w:hAnsi="Times New Roman"/>
        </w:rPr>
        <w:t>3.</w:t>
      </w:r>
      <w:r w:rsidR="0051374C" w:rsidRPr="001427D1">
        <w:rPr>
          <w:rFonts w:ascii="Times New Roman" w:hAnsi="Times New Roman"/>
        </w:rPr>
        <w:t>9</w:t>
      </w:r>
      <w:r w:rsidRPr="001427D1">
        <w:rPr>
          <w:rFonts w:ascii="Times New Roman" w:hAnsi="Times New Roman"/>
        </w:rPr>
        <w:t xml:space="preserve">. </w:t>
      </w:r>
      <w:r w:rsidR="00693DC7" w:rsidRPr="001427D1">
        <w:rPr>
          <w:rFonts w:ascii="Times New Roman" w:hAnsi="Times New Roman"/>
        </w:rPr>
        <w:t>Coordinación con otros sectores</w:t>
      </w:r>
      <w:bookmarkEnd w:id="47"/>
    </w:p>
    <w:p w:rsidR="00693DC7" w:rsidRDefault="00693DC7" w:rsidP="00693DC7">
      <w:pPr>
        <w:rPr>
          <w:rFonts w:ascii="Times New Roman" w:hAnsi="Times New Roman"/>
        </w:rPr>
      </w:pPr>
    </w:p>
    <w:p w:rsidR="00DF611E" w:rsidRDefault="00693DC7">
      <w:pPr>
        <w:jc w:val="both"/>
        <w:rPr>
          <w:rFonts w:ascii="Times New Roman" w:hAnsi="Times New Roman"/>
        </w:rPr>
      </w:pPr>
      <w:r>
        <w:rPr>
          <w:rFonts w:ascii="Times New Roman" w:hAnsi="Times New Roman"/>
        </w:rPr>
        <w:t xml:space="preserve">La gestión del sector educativo se concentra principalmente en los Programas de Construcción de Saberes y Garantía del Desarrollo Integral de la </w:t>
      </w:r>
      <w:r w:rsidR="00DD15FE">
        <w:rPr>
          <w:rFonts w:ascii="Times New Roman" w:hAnsi="Times New Roman"/>
        </w:rPr>
        <w:t xml:space="preserve">Primera </w:t>
      </w:r>
      <w:r>
        <w:rPr>
          <w:rFonts w:ascii="Times New Roman" w:hAnsi="Times New Roman"/>
        </w:rPr>
        <w:t>Infancia, que vincula a varios sectores. Adicionalmente, el sector educativo y en particular la Secretaría de Educación tiene vínculos en su gestión y contribuye al logro de las metas en los siguientes programas del Plan Distrital de Desarrollo:</w:t>
      </w:r>
    </w:p>
    <w:p w:rsidR="00693DC7" w:rsidRPr="00234EC8" w:rsidRDefault="00693DC7" w:rsidP="00693DC7">
      <w:pPr>
        <w:pStyle w:val="Prrafodelista"/>
        <w:numPr>
          <w:ilvl w:val="0"/>
          <w:numId w:val="4"/>
        </w:numPr>
        <w:jc w:val="both"/>
        <w:rPr>
          <w:color w:val="000000"/>
        </w:rPr>
      </w:pPr>
      <w:r w:rsidRPr="00234EC8">
        <w:t xml:space="preserve">Sector Salud, Programa </w:t>
      </w:r>
      <w:r w:rsidRPr="00234EC8">
        <w:rPr>
          <w:color w:val="000000"/>
        </w:rPr>
        <w:t>Territorios saludables y red de salud para la vida desde la diversidad, Proyecto prior</w:t>
      </w:r>
      <w:r w:rsidR="008579E1">
        <w:rPr>
          <w:color w:val="000000"/>
        </w:rPr>
        <w:t>itario Salud para el buen vivir.</w:t>
      </w:r>
      <w:r w:rsidRPr="00234EC8">
        <w:rPr>
          <w:color w:val="000000"/>
        </w:rPr>
        <w:t xml:space="preserve"> Meta de resultado: Cubrir a 1.563.093 niños, niñas y </w:t>
      </w:r>
      <w:r w:rsidR="00170F69">
        <w:rPr>
          <w:color w:val="000000"/>
        </w:rPr>
        <w:t>jóvene</w:t>
      </w:r>
      <w:r w:rsidRPr="00234EC8">
        <w:rPr>
          <w:color w:val="000000"/>
        </w:rPr>
        <w:t xml:space="preserve">s matriculados en instituciones educativas distritales </w:t>
      </w:r>
      <w:r w:rsidRPr="00234EC8">
        <w:rPr>
          <w:color w:val="000000"/>
        </w:rPr>
        <w:lastRenderedPageBreak/>
        <w:t>con la acciones de promoción de la salud y de prevención, en un trabajo coordinado de la Secretaría Distrital de Educación y la Secretaría Distrital de Salud.</w:t>
      </w:r>
    </w:p>
    <w:p w:rsidR="00693DC7" w:rsidRPr="00234EC8" w:rsidRDefault="00693DC7" w:rsidP="00693DC7">
      <w:pPr>
        <w:pStyle w:val="Prrafodelista"/>
        <w:numPr>
          <w:ilvl w:val="0"/>
          <w:numId w:val="4"/>
        </w:numPr>
        <w:jc w:val="both"/>
        <w:rPr>
          <w:color w:val="000000"/>
        </w:rPr>
      </w:pPr>
      <w:r w:rsidRPr="00234EC8">
        <w:t xml:space="preserve">Sector Salud, Programa </w:t>
      </w:r>
      <w:r w:rsidRPr="00234EC8">
        <w:rPr>
          <w:color w:val="000000"/>
        </w:rPr>
        <w:t xml:space="preserve">Territorios saludables y red de salud para la vida desde la </w:t>
      </w:r>
      <w:r w:rsidR="008579E1">
        <w:rPr>
          <w:color w:val="000000"/>
        </w:rPr>
        <w:t>diversidad, Proyecto prioritario</w:t>
      </w:r>
      <w:r w:rsidRPr="00234EC8">
        <w:rPr>
          <w:color w:val="000000"/>
        </w:rPr>
        <w:t xml:space="preserve"> Ampliación y mejoramiento de la atención prehospitalaria</w:t>
      </w:r>
      <w:r w:rsidR="00DD15FE">
        <w:rPr>
          <w:color w:val="000000"/>
        </w:rPr>
        <w:t>. Meta de resultado: c</w:t>
      </w:r>
      <w:r w:rsidR="008579E1">
        <w:rPr>
          <w:color w:val="000000"/>
        </w:rPr>
        <w:t>apacitar</w:t>
      </w:r>
      <w:r w:rsidRPr="00234EC8">
        <w:rPr>
          <w:color w:val="000000"/>
        </w:rPr>
        <w:t xml:space="preserve"> a 36.000 pers</w:t>
      </w:r>
      <w:r w:rsidR="008579E1">
        <w:rPr>
          <w:color w:val="000000"/>
        </w:rPr>
        <w:t>onas vinculadas a los sectores salud, e</w:t>
      </w:r>
      <w:r w:rsidRPr="00234EC8">
        <w:rPr>
          <w:color w:val="000000"/>
        </w:rPr>
        <w:t>ducación y a líderes comunales en el tema de primer respondiente en situaciones de emergencia urgencia.</w:t>
      </w:r>
    </w:p>
    <w:p w:rsidR="00693DC7" w:rsidRPr="00234EC8" w:rsidRDefault="008579E1" w:rsidP="00693DC7">
      <w:pPr>
        <w:pStyle w:val="Prrafodelista"/>
        <w:numPr>
          <w:ilvl w:val="0"/>
          <w:numId w:val="4"/>
        </w:numPr>
        <w:jc w:val="both"/>
        <w:rPr>
          <w:color w:val="000000"/>
        </w:rPr>
      </w:pPr>
      <w:r>
        <w:rPr>
          <w:color w:val="000000"/>
        </w:rPr>
        <w:t>Programa</w:t>
      </w:r>
      <w:r w:rsidR="00693DC7" w:rsidRPr="00234EC8">
        <w:rPr>
          <w:color w:val="000000"/>
        </w:rPr>
        <w:t xml:space="preserve"> Lucha contra distintos tipos de discriminación y violencias por condición, situación, identidad, diferencia, diversidad o etapa del ciclo vital.</w:t>
      </w:r>
    </w:p>
    <w:p w:rsidR="00693DC7" w:rsidRPr="00234EC8" w:rsidRDefault="00693DC7" w:rsidP="00693DC7">
      <w:pPr>
        <w:pStyle w:val="Prrafodelista"/>
        <w:numPr>
          <w:ilvl w:val="0"/>
          <w:numId w:val="4"/>
        </w:numPr>
        <w:jc w:val="both"/>
        <w:rPr>
          <w:color w:val="000000"/>
        </w:rPr>
      </w:pPr>
      <w:r w:rsidRPr="00234EC8">
        <w:rPr>
          <w:color w:val="000000"/>
        </w:rPr>
        <w:t>Prog</w:t>
      </w:r>
      <w:r>
        <w:rPr>
          <w:color w:val="000000"/>
        </w:rPr>
        <w:t>r</w:t>
      </w:r>
      <w:r w:rsidRPr="00234EC8">
        <w:rPr>
          <w:color w:val="000000"/>
        </w:rPr>
        <w:t>ama Bogotá humana por la dignidad de las</w:t>
      </w:r>
      <w:r w:rsidR="008579E1">
        <w:rPr>
          <w:color w:val="000000"/>
        </w:rPr>
        <w:t xml:space="preserve"> víctimas, Proyecto prioritario</w:t>
      </w:r>
      <w:r w:rsidRPr="00234EC8">
        <w:rPr>
          <w:color w:val="000000"/>
        </w:rPr>
        <w:t xml:space="preserve"> Niños, niñas, jóvenes y familias que se han visto afectados/as o son víctimas del conflicto armado residentes en Bogotá atendidos/as integral y diferencialmente para la protección integral de sus derechos y la reparación integral.</w:t>
      </w:r>
    </w:p>
    <w:p w:rsidR="00693DC7" w:rsidRPr="00234EC8" w:rsidRDefault="00693DC7" w:rsidP="00693DC7">
      <w:pPr>
        <w:pStyle w:val="Prrafodelista"/>
        <w:numPr>
          <w:ilvl w:val="0"/>
          <w:numId w:val="4"/>
        </w:numPr>
        <w:jc w:val="both"/>
        <w:rPr>
          <w:color w:val="000000"/>
        </w:rPr>
      </w:pPr>
      <w:r w:rsidRPr="00234EC8">
        <w:rPr>
          <w:color w:val="000000"/>
        </w:rPr>
        <w:t>Programa Ejercicio de las libertades culturales y deportivas.</w:t>
      </w:r>
    </w:p>
    <w:p w:rsidR="00693DC7" w:rsidRPr="00234EC8" w:rsidRDefault="00693DC7" w:rsidP="00693DC7">
      <w:pPr>
        <w:pStyle w:val="Prrafodelista"/>
        <w:numPr>
          <w:ilvl w:val="0"/>
          <w:numId w:val="4"/>
        </w:numPr>
        <w:jc w:val="both"/>
        <w:rPr>
          <w:color w:val="000000"/>
        </w:rPr>
      </w:pPr>
      <w:r w:rsidRPr="00234EC8">
        <w:rPr>
          <w:color w:val="000000"/>
        </w:rPr>
        <w:t>Programa Soberanía y seguridad alimentaria y nutricional.</w:t>
      </w:r>
    </w:p>
    <w:p w:rsidR="00693DC7" w:rsidRPr="00234EC8" w:rsidRDefault="00693DC7" w:rsidP="00693DC7">
      <w:pPr>
        <w:pStyle w:val="Prrafodelista"/>
        <w:numPr>
          <w:ilvl w:val="0"/>
          <w:numId w:val="4"/>
        </w:numPr>
        <w:jc w:val="both"/>
        <w:rPr>
          <w:color w:val="000000"/>
        </w:rPr>
      </w:pPr>
      <w:r w:rsidRPr="00234EC8">
        <w:rPr>
          <w:color w:val="000000"/>
        </w:rPr>
        <w:t>Programa Recuperación rehabilitación y restauración de la estructura ecológica principal y de los espacios</w:t>
      </w:r>
      <w:r w:rsidR="008579E1">
        <w:rPr>
          <w:color w:val="000000"/>
        </w:rPr>
        <w:t xml:space="preserve"> del agua, Proyecto prioritario</w:t>
      </w:r>
      <w:r w:rsidRPr="00234EC8">
        <w:rPr>
          <w:color w:val="000000"/>
        </w:rPr>
        <w:t xml:space="preserve"> Apropiación ambiental y gobernanza del agua</w:t>
      </w:r>
      <w:r w:rsidR="00FB6FB5">
        <w:rPr>
          <w:color w:val="000000"/>
        </w:rPr>
        <w:t xml:space="preserve">. </w:t>
      </w:r>
      <w:r w:rsidRPr="00234EC8">
        <w:rPr>
          <w:color w:val="000000"/>
        </w:rPr>
        <w:t>Meta de resultado</w:t>
      </w:r>
      <w:r w:rsidR="00FB6FB5">
        <w:rPr>
          <w:color w:val="000000"/>
        </w:rPr>
        <w:t>:</w:t>
      </w:r>
      <w:r w:rsidR="00400151">
        <w:rPr>
          <w:color w:val="000000"/>
        </w:rPr>
        <w:t xml:space="preserve"> </w:t>
      </w:r>
      <w:r w:rsidR="00FB6FB5">
        <w:rPr>
          <w:color w:val="000000"/>
        </w:rPr>
        <w:t>i</w:t>
      </w:r>
      <w:r w:rsidRPr="00234EC8">
        <w:rPr>
          <w:color w:val="000000"/>
        </w:rPr>
        <w:t>nvolucrar un total de 2.400.000 habitantes en estrategias de educación e investigación ambiental para la apropiación social de los territorios del agua.</w:t>
      </w:r>
    </w:p>
    <w:p w:rsidR="00693DC7" w:rsidRPr="00234EC8" w:rsidRDefault="008579E1" w:rsidP="00693DC7">
      <w:pPr>
        <w:pStyle w:val="Prrafodelista"/>
        <w:numPr>
          <w:ilvl w:val="0"/>
          <w:numId w:val="4"/>
        </w:numPr>
        <w:jc w:val="both"/>
        <w:rPr>
          <w:color w:val="000000"/>
        </w:rPr>
      </w:pPr>
      <w:r>
        <w:rPr>
          <w:color w:val="000000"/>
        </w:rPr>
        <w:t>Programa Bogotá Humana</w:t>
      </w:r>
      <w:r w:rsidR="00693DC7" w:rsidRPr="00234EC8">
        <w:rPr>
          <w:color w:val="000000"/>
        </w:rPr>
        <w:t xml:space="preserve"> Participa y Decide, Proyecto Educación para la participación.</w:t>
      </w:r>
    </w:p>
    <w:p w:rsidR="00693DC7" w:rsidRPr="00234EC8" w:rsidRDefault="00693DC7" w:rsidP="00693DC7">
      <w:pPr>
        <w:pStyle w:val="Prrafodelista"/>
        <w:numPr>
          <w:ilvl w:val="0"/>
          <w:numId w:val="4"/>
        </w:numPr>
        <w:jc w:val="both"/>
        <w:rPr>
          <w:color w:val="000000"/>
        </w:rPr>
      </w:pPr>
      <w:r w:rsidRPr="00234EC8">
        <w:rPr>
          <w:color w:val="000000"/>
        </w:rPr>
        <w:t>Programa Transparencia, probidad, lucha contra la corrupción y control social efectivo e incluyente, Proyecto prioritario Fortalecimiento de la capacidad institucional para identificar, prevenir y resolver problemas de corrupción y para identi</w:t>
      </w:r>
      <w:r w:rsidR="008579E1">
        <w:rPr>
          <w:color w:val="000000"/>
        </w:rPr>
        <w:t>ficar oportunidades de probidad.</w:t>
      </w:r>
      <w:r w:rsidRPr="00234EC8">
        <w:rPr>
          <w:color w:val="000000"/>
        </w:rPr>
        <w:t xml:space="preserve"> Metas de resultado: </w:t>
      </w:r>
      <w:r w:rsidRPr="00234EC8">
        <w:rPr>
          <w:rFonts w:eastAsiaTheme="minorHAnsi"/>
          <w:color w:val="000000"/>
          <w:szCs w:val="20"/>
        </w:rPr>
        <w:t xml:space="preserve">Implementar en 86 entidades (44 entidades, 22 hospitales y 20 localidades) siete herramientas de transparencia, probidad y cultura ciudadana y de la legalidad en el marco de una política distrital de transparencia y lucha contra la corrupción y en concordancia con el estatuto anticorrupción; </w:t>
      </w:r>
      <w:r w:rsidR="00F874D9">
        <w:rPr>
          <w:rFonts w:eastAsiaTheme="minorHAnsi"/>
          <w:color w:val="000000"/>
          <w:szCs w:val="20"/>
        </w:rPr>
        <w:t>c</w:t>
      </w:r>
      <w:r w:rsidRPr="00234EC8">
        <w:rPr>
          <w:rFonts w:eastAsiaTheme="minorHAnsi"/>
          <w:color w:val="000000"/>
          <w:szCs w:val="20"/>
        </w:rPr>
        <w:t>onstituir 7 alianzas público privadas, para el control social a la contratación, a la interventor</w:t>
      </w:r>
      <w:r w:rsidR="00F874D9">
        <w:rPr>
          <w:rFonts w:eastAsiaTheme="minorHAnsi"/>
          <w:color w:val="000000"/>
          <w:szCs w:val="20"/>
        </w:rPr>
        <w:t>í</w:t>
      </w:r>
      <w:r w:rsidRPr="00234EC8">
        <w:rPr>
          <w:rFonts w:eastAsiaTheme="minorHAnsi"/>
          <w:color w:val="000000"/>
          <w:szCs w:val="20"/>
        </w:rPr>
        <w:t xml:space="preserve">a y a la gestión pública, en movilidad, salud, educación, integración social, hábitat, ambiente, economía popular y seguridad ciudadana; </w:t>
      </w:r>
      <w:r w:rsidR="00F874D9">
        <w:rPr>
          <w:rFonts w:eastAsiaTheme="minorHAnsi"/>
          <w:color w:val="000000"/>
          <w:szCs w:val="20"/>
        </w:rPr>
        <w:t>i</w:t>
      </w:r>
      <w:r w:rsidRPr="00234EC8">
        <w:rPr>
          <w:rFonts w:eastAsiaTheme="minorHAnsi"/>
          <w:color w:val="000000"/>
          <w:szCs w:val="20"/>
        </w:rPr>
        <w:t>mplementar 32 procesos (por sector y localidad) de control social y de veeduría especializada en movilidad, salud, educación, cultura, ambiente, hábitat, gobiernos locales, integración social, discapacidad, economía popular, productividad y competitividad, recolección de basuras, servicios públicos, seguridad y convivencia ciudadana, mujer, infancia, adolescencia, juventud y adulto mayor.</w:t>
      </w:r>
    </w:p>
    <w:bookmarkEnd w:id="24"/>
    <w:p w:rsidR="00E7607D" w:rsidRDefault="004E2466" w:rsidP="00BF3A42">
      <w:pPr>
        <w:pStyle w:val="Ttulo1"/>
        <w:rPr>
          <w:rFonts w:ascii="Times New Roman" w:hAnsi="Times New Roman"/>
        </w:rPr>
      </w:pPr>
      <w:r>
        <w:rPr>
          <w:rFonts w:ascii="Times New Roman" w:hAnsi="Times New Roman"/>
        </w:rPr>
        <w:br w:type="page"/>
      </w:r>
      <w:bookmarkStart w:id="48" w:name="_Toc362358067"/>
      <w:r w:rsidR="00BF3A42" w:rsidRPr="00BF3A42">
        <w:rPr>
          <w:rFonts w:ascii="Times New Roman" w:hAnsi="Times New Roman"/>
        </w:rPr>
        <w:lastRenderedPageBreak/>
        <w:t>BIBLIOGRAFÍA</w:t>
      </w:r>
      <w:bookmarkEnd w:id="48"/>
    </w:p>
    <w:p w:rsidR="00BF3A42" w:rsidRPr="00BF3A42" w:rsidRDefault="00BF3A42" w:rsidP="00BF3A42"/>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ALCALDÍA MAYOR DE BOGOTÁ (2012): Bogotá humana y la primera infancia. Pp. 4. En: </w:t>
      </w:r>
      <w:hyperlink r:id="rId37" w:history="1">
        <w:r w:rsidRPr="00340C1B">
          <w:rPr>
            <w:rStyle w:val="Hipervnculo"/>
            <w:rFonts w:ascii="Times New Roman" w:hAnsi="Times New Roman" w:cs="Times New Roman"/>
            <w:color w:val="auto"/>
            <w:u w:val="none"/>
          </w:rPr>
          <w:t>http://www.sedbogota.edu.co/archivos/Educacion_inicial/2012/ANEXO%20%20Primera%20infancia.pdf</w:t>
        </w:r>
      </w:hyperlink>
    </w:p>
    <w:p w:rsidR="00E7607D" w:rsidRDefault="00E7607D" w:rsidP="00E7607D">
      <w:pPr>
        <w:pStyle w:val="Textonotapie"/>
        <w:spacing w:before="120" w:after="240"/>
        <w:jc w:val="both"/>
        <w:rPr>
          <w:sz w:val="24"/>
          <w:szCs w:val="24"/>
        </w:rPr>
      </w:pPr>
      <w:r w:rsidRPr="00340C1B">
        <w:rPr>
          <w:sz w:val="24"/>
          <w:szCs w:val="24"/>
        </w:rPr>
        <w:t>BANCO MUNDIAL (2009): La calidad de la educación en Colombia: un análisis y algunas opciones para un programa de política.</w:t>
      </w:r>
    </w:p>
    <w:p w:rsidR="00E7607D" w:rsidRDefault="00E7607D" w:rsidP="00E7607D">
      <w:pPr>
        <w:pStyle w:val="Textonotapie"/>
        <w:spacing w:before="120" w:after="240"/>
        <w:rPr>
          <w:sz w:val="24"/>
          <w:szCs w:val="24"/>
        </w:rPr>
      </w:pPr>
      <w:r w:rsidRPr="00340C1B">
        <w:rPr>
          <w:sz w:val="24"/>
          <w:szCs w:val="24"/>
        </w:rPr>
        <w:t>BONILLA, Leonardo (2011): Doble jornada escolar y calidad de la educación en Colombia, Documentos de trabajo sobre economía regional, No. 143. Banco de la República.</w:t>
      </w:r>
    </w:p>
    <w:p w:rsidR="00E7607D" w:rsidRDefault="00E7607D" w:rsidP="00E7607D">
      <w:pPr>
        <w:autoSpaceDE w:val="0"/>
        <w:autoSpaceDN w:val="0"/>
        <w:adjustRightInd w:val="0"/>
        <w:spacing w:before="120" w:after="240"/>
        <w:jc w:val="both"/>
        <w:rPr>
          <w:rFonts w:ascii="Times New Roman" w:eastAsiaTheme="minorHAnsi" w:hAnsi="Times New Roman" w:cs="Times New Roman"/>
          <w:lang w:val="es-ES" w:eastAsia="en-US"/>
        </w:rPr>
      </w:pPr>
      <w:r w:rsidRPr="00340C1B">
        <w:rPr>
          <w:rFonts w:ascii="Times New Roman" w:eastAsiaTheme="minorHAnsi" w:hAnsi="Times New Roman" w:cs="Times New Roman"/>
          <w:lang w:val="es-ES" w:eastAsia="en-US"/>
        </w:rPr>
        <w:t xml:space="preserve">CEPAL/UNESCO (2005). </w:t>
      </w:r>
      <w:r w:rsidRPr="00340C1B">
        <w:rPr>
          <w:rFonts w:ascii="Times New Roman" w:eastAsiaTheme="minorHAnsi" w:hAnsi="Times New Roman" w:cs="Times New Roman"/>
          <w:i/>
          <w:iCs/>
          <w:lang w:val="es-ES" w:eastAsia="en-US"/>
        </w:rPr>
        <w:t xml:space="preserve">Invertir mejor para invertir más. Financiamiento y gestión de la educación en América Latina y el Caribe. </w:t>
      </w:r>
      <w:r w:rsidRPr="00340C1B">
        <w:rPr>
          <w:rFonts w:ascii="Times New Roman" w:eastAsiaTheme="minorHAnsi" w:hAnsi="Times New Roman" w:cs="Times New Roman"/>
          <w:lang w:val="es-ES" w:eastAsia="en-US"/>
        </w:rPr>
        <w:t>Santiago de Chile</w:t>
      </w:r>
      <w:r w:rsidRPr="00340C1B">
        <w:rPr>
          <w:rFonts w:ascii="Times New Roman" w:eastAsiaTheme="minorHAnsi" w:hAnsi="Times New Roman" w:cs="Times New Roman"/>
          <w:i/>
          <w:iCs/>
          <w:lang w:val="es-ES" w:eastAsia="en-US"/>
        </w:rPr>
        <w:t xml:space="preserve">. </w:t>
      </w:r>
      <w:r w:rsidRPr="00340C1B">
        <w:rPr>
          <w:rFonts w:ascii="Times New Roman" w:eastAsiaTheme="minorHAnsi" w:hAnsi="Times New Roman" w:cs="Times New Roman"/>
          <w:lang w:val="es-ES" w:eastAsia="en-US"/>
        </w:rPr>
        <w:t>Naciones Unidas.</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COLPRENSA (23 de febrero de 2011): </w:t>
      </w:r>
      <w:r w:rsidRPr="00340C1B">
        <w:rPr>
          <w:rFonts w:ascii="Times New Roman" w:eastAsia="Times New Roman" w:hAnsi="Times New Roman" w:cs="Times New Roman"/>
          <w:color w:val="494949"/>
          <w:kern w:val="36"/>
          <w:lang w:val="es-ES" w:eastAsia="es-CO"/>
        </w:rPr>
        <w:t>Estudiantes Colombianos se rajan en pruebas Pisa</w:t>
      </w:r>
      <w:r w:rsidRPr="00340C1B">
        <w:rPr>
          <w:rFonts w:ascii="Times New Roman" w:hAnsi="Times New Roman" w:cs="Times New Roman"/>
        </w:rPr>
        <w:t xml:space="preserve">. Columna en El Espectador. </w:t>
      </w:r>
      <w:r w:rsidRPr="00340C1B">
        <w:rPr>
          <w:rFonts w:ascii="Times New Roman" w:hAnsi="Times New Roman" w:cs="Times New Roman"/>
          <w:lang w:val="es-ES"/>
        </w:rPr>
        <w:t xml:space="preserve">En: </w:t>
      </w:r>
      <w:hyperlink r:id="rId38" w:history="1">
        <w:r w:rsidRPr="00340C1B">
          <w:rPr>
            <w:rStyle w:val="Hipervnculo"/>
            <w:rFonts w:ascii="Times New Roman" w:hAnsi="Times New Roman" w:cs="Times New Roman"/>
            <w:color w:val="auto"/>
          </w:rPr>
          <w:t>http://www.eluniversal.com.co/cartagena/educacion/estudiantes-colombianos-se-rajan-en-pruebas-pisa-10933</w:t>
        </w:r>
      </w:hyperlink>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CONPES 109 de 2007. </w:t>
      </w:r>
    </w:p>
    <w:p w:rsidR="00E7607D" w:rsidRDefault="00E7607D" w:rsidP="00E7607D">
      <w:pPr>
        <w:pStyle w:val="Textonotapie"/>
        <w:spacing w:before="120" w:after="240"/>
        <w:jc w:val="both"/>
        <w:rPr>
          <w:sz w:val="24"/>
          <w:szCs w:val="24"/>
        </w:rPr>
      </w:pPr>
      <w:r w:rsidRPr="00340C1B">
        <w:rPr>
          <w:sz w:val="24"/>
          <w:szCs w:val="24"/>
        </w:rPr>
        <w:t xml:space="preserve">CONSTITUCIÓN POLÍTICA DE COLOMBIA DE 1991. </w:t>
      </w:r>
    </w:p>
    <w:p w:rsidR="00E7607D" w:rsidRDefault="00E7607D" w:rsidP="00E7607D">
      <w:pPr>
        <w:spacing w:before="120" w:after="240"/>
        <w:jc w:val="both"/>
        <w:rPr>
          <w:rFonts w:ascii="Times New Roman" w:hAnsi="Times New Roman" w:cs="Times New Roman"/>
        </w:rPr>
      </w:pPr>
      <w:r w:rsidRPr="00340C1B">
        <w:rPr>
          <w:rFonts w:ascii="Times New Roman" w:hAnsi="Times New Roman" w:cs="Times New Roman"/>
        </w:rPr>
        <w:t xml:space="preserve">CORPOEDUCACIÓN (2006): Situación de la educación preescolar, básica, media y superior en Colombia. Segunda edición. </w:t>
      </w:r>
    </w:p>
    <w:p w:rsidR="00E7607D" w:rsidRDefault="00E7607D" w:rsidP="00E7607D">
      <w:pPr>
        <w:pStyle w:val="Textonotapie"/>
        <w:spacing w:before="120" w:after="240"/>
        <w:jc w:val="both"/>
        <w:rPr>
          <w:sz w:val="24"/>
          <w:szCs w:val="24"/>
        </w:rPr>
      </w:pPr>
      <w:r w:rsidRPr="00340C1B">
        <w:rPr>
          <w:sz w:val="24"/>
          <w:szCs w:val="24"/>
        </w:rPr>
        <w:t xml:space="preserve">CORTE CONSTITUCIONAL Sentencia T-491 DE 2003. MP Clara Inés Vargas. </w:t>
      </w:r>
    </w:p>
    <w:p w:rsidR="00E7607D" w:rsidRDefault="00E7607D" w:rsidP="00E7607D">
      <w:pPr>
        <w:pStyle w:val="Textonotapie"/>
        <w:spacing w:before="120" w:after="240"/>
        <w:jc w:val="both"/>
        <w:rPr>
          <w:sz w:val="24"/>
          <w:szCs w:val="24"/>
        </w:rPr>
      </w:pPr>
      <w:r w:rsidRPr="00340C1B">
        <w:rPr>
          <w:sz w:val="24"/>
          <w:szCs w:val="24"/>
        </w:rPr>
        <w:t>CUETO, Santiago; DIAZ, Juan José (1999): "Impacto de la educación inicial en el rendimiento en primer grado de primaria en escuelas públicas urbanas de Lima". Revista de psicología, 17(1): 74-91.</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CHAUX, Enrique (2012): </w:t>
      </w:r>
      <w:r w:rsidRPr="00340C1B">
        <w:rPr>
          <w:rFonts w:ascii="Times New Roman" w:hAnsi="Times New Roman" w:cs="Times New Roman"/>
          <w:i/>
        </w:rPr>
        <w:t>Educación, convivencia y agresión escolar</w:t>
      </w:r>
      <w:r w:rsidRPr="00340C1B">
        <w:rPr>
          <w:rFonts w:ascii="Times New Roman" w:hAnsi="Times New Roman" w:cs="Times New Roman"/>
        </w:rPr>
        <w:t>. Ediciones Uniandes. Bogotá.</w:t>
      </w:r>
      <w:bookmarkStart w:id="49" w:name="_GoBack"/>
      <w:bookmarkEnd w:id="49"/>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DECLARACIÓN UNIVERSAL DE DERECHOS HUMANOS (1948).</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DELORS, Jacques, La educación encierra un tesoro. Informe a la UNESCO de la Comisión Internacional sobre la educación para el siglo XXI. </w:t>
      </w:r>
    </w:p>
    <w:p w:rsidR="00E7607D" w:rsidRDefault="00E7607D" w:rsidP="00E7607D">
      <w:pPr>
        <w:spacing w:before="120" w:after="240"/>
        <w:jc w:val="both"/>
        <w:rPr>
          <w:rFonts w:ascii="Times New Roman" w:hAnsi="Times New Roman" w:cs="Times New Roman"/>
          <w:lang w:eastAsia="es-ES"/>
        </w:rPr>
      </w:pPr>
      <w:r w:rsidRPr="00340C1B">
        <w:rPr>
          <w:rFonts w:ascii="Times New Roman" w:hAnsi="Times New Roman" w:cs="Times New Roman"/>
          <w:lang w:eastAsia="es-ES"/>
        </w:rPr>
        <w:t>EDUCACIÓN COMPROMISO DE TODOS (2010) Una mirada a las cifras de la educación en Colombia 2002 – 2009.</w:t>
      </w:r>
    </w:p>
    <w:p w:rsidR="00E7607D" w:rsidRDefault="00E7607D" w:rsidP="00E7607D">
      <w:pPr>
        <w:autoSpaceDE w:val="0"/>
        <w:autoSpaceDN w:val="0"/>
        <w:adjustRightInd w:val="0"/>
        <w:spacing w:before="120" w:after="240"/>
        <w:jc w:val="both"/>
        <w:rPr>
          <w:rFonts w:ascii="Times New Roman" w:hAnsi="Times New Roman" w:cs="Times New Roman"/>
          <w:lang w:eastAsia="es-ES"/>
        </w:rPr>
      </w:pPr>
      <w:r w:rsidRPr="00340C1B">
        <w:rPr>
          <w:rFonts w:ascii="Times New Roman" w:hAnsi="Times New Roman" w:cs="Times New Roman"/>
        </w:rPr>
        <w:lastRenderedPageBreak/>
        <w:t xml:space="preserve">EDUCACIÓN COMPROMISO DE TODOS, (2010): </w:t>
      </w:r>
      <w:r w:rsidRPr="00340C1B">
        <w:rPr>
          <w:rFonts w:ascii="Times New Roman" w:hAnsi="Times New Roman" w:cs="Times New Roman"/>
          <w:bCs/>
          <w:i/>
          <w:lang w:eastAsia="es-ES"/>
        </w:rPr>
        <w:t>Una mirada a las cifras de la educación en Colombia 2002-2009</w:t>
      </w:r>
      <w:r w:rsidRPr="00340C1B">
        <w:rPr>
          <w:rFonts w:ascii="Times New Roman" w:hAnsi="Times New Roman" w:cs="Times New Roman"/>
          <w:i/>
        </w:rPr>
        <w:t xml:space="preserve">. </w:t>
      </w:r>
      <w:r w:rsidRPr="00340C1B">
        <w:rPr>
          <w:rFonts w:ascii="Times New Roman" w:hAnsi="Times New Roman" w:cs="Times New Roman"/>
          <w:lang w:eastAsia="es-ES"/>
        </w:rPr>
        <w:t>Offset Gráfico Editores S. A. Bogotá. Pág. 9. Los cálculos específicos de la distribución se definen mediante documentos CONPES.</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lang w:val="es-ES"/>
        </w:rPr>
        <w:t xml:space="preserve"> En:</w:t>
      </w:r>
      <w:hyperlink r:id="rId39" w:history="1">
        <w:r w:rsidRPr="00340C1B">
          <w:rPr>
            <w:rStyle w:val="Hipervnculo"/>
            <w:rFonts w:ascii="Times New Roman" w:hAnsi="Times New Roman" w:cs="Times New Roman"/>
            <w:color w:val="auto"/>
          </w:rPr>
          <w:t>http://www.dnp.gov.co/Portals/0/archivos/documentos/DEE/Archivos_Economia/286.pdf</w:t>
        </w:r>
      </w:hyperlink>
    </w:p>
    <w:p w:rsidR="00E7607D" w:rsidRDefault="00E7607D" w:rsidP="00E7607D">
      <w:pPr>
        <w:spacing w:before="120" w:after="240"/>
        <w:jc w:val="both"/>
        <w:rPr>
          <w:rFonts w:ascii="Times New Roman" w:hAnsi="Times New Roman" w:cs="Times New Roman"/>
          <w:color w:val="000000"/>
        </w:rPr>
      </w:pPr>
      <w:r w:rsidRPr="00340C1B">
        <w:rPr>
          <w:rFonts w:ascii="Times New Roman" w:hAnsi="Times New Roman" w:cs="Times New Roman"/>
          <w:color w:val="000000"/>
        </w:rPr>
        <w:t>ENCUESTA DE CALIDAD DE VIDA DEL AÑO 2007</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INSTITUTO INTERNACIONAL DE PLANEAMIENTO DE LA EDUCACIÓN IIPE (2004): </w:t>
      </w:r>
      <w:r w:rsidRPr="00340C1B">
        <w:rPr>
          <w:rFonts w:ascii="Times New Roman" w:hAnsi="Times New Roman" w:cs="Times New Roman"/>
          <w:bCs/>
          <w:i/>
        </w:rPr>
        <w:t>Educación y equidad. Algunos aportes desde la noción de educabilidad</w:t>
      </w:r>
      <w:r w:rsidRPr="00340C1B">
        <w:rPr>
          <w:rFonts w:ascii="Times New Roman" w:hAnsi="Times New Roman" w:cs="Times New Roman"/>
        </w:rPr>
        <w:t xml:space="preserve">. Buenos Aires. Véase en: </w:t>
      </w:r>
      <w:hyperlink r:id="rId40" w:history="1">
        <w:r w:rsidRPr="00340C1B">
          <w:rPr>
            <w:rStyle w:val="Hipervnculo"/>
            <w:rFonts w:ascii="Times New Roman" w:hAnsi="Times New Roman" w:cs="Times New Roman"/>
            <w:color w:val="auto"/>
            <w:u w:val="none"/>
          </w:rPr>
          <w:t>http://unesdoc.unesco.org/images/0014/001417/141736s.pdf</w:t>
        </w:r>
      </w:hyperlink>
    </w:p>
    <w:p w:rsidR="00E7607D" w:rsidRDefault="00E7607D" w:rsidP="00E7607D">
      <w:pPr>
        <w:spacing w:before="120" w:after="240"/>
        <w:jc w:val="both"/>
        <w:rPr>
          <w:rFonts w:ascii="Times New Roman" w:hAnsi="Times New Roman" w:cs="Times New Roman"/>
        </w:rPr>
      </w:pPr>
      <w:r w:rsidRPr="00340C1B">
        <w:rPr>
          <w:rFonts w:ascii="Times New Roman" w:hAnsi="Times New Roman" w:cs="Times New Roman"/>
        </w:rPr>
        <w:t>LEY 715 de 2001</w:t>
      </w:r>
      <w:r>
        <w:rPr>
          <w:rFonts w:ascii="Times New Roman" w:hAnsi="Times New Roman" w:cs="Times New Roman"/>
        </w:rPr>
        <w:t>.</w:t>
      </w:r>
    </w:p>
    <w:p w:rsidR="00E7607D" w:rsidRDefault="00E7607D" w:rsidP="00E7607D">
      <w:pPr>
        <w:pStyle w:val="NormalWeb"/>
        <w:spacing w:before="120" w:beforeAutospacing="0" w:after="240" w:afterAutospacing="0"/>
        <w:jc w:val="both"/>
      </w:pPr>
      <w:r w:rsidRPr="00340C1B">
        <w:t>LEY GENERAL DE EDUCACIÓN</w:t>
      </w:r>
      <w:r w:rsidR="003C3C53">
        <w:t xml:space="preserve"> </w:t>
      </w:r>
      <w:r w:rsidRPr="00340C1B">
        <w:t xml:space="preserve">Ley 115 de 1994. </w:t>
      </w:r>
    </w:p>
    <w:p w:rsidR="00E7607D" w:rsidRDefault="00E7607D" w:rsidP="00E7607D">
      <w:pPr>
        <w:pStyle w:val="Textonotapie"/>
        <w:spacing w:before="120" w:after="240"/>
        <w:jc w:val="both"/>
        <w:rPr>
          <w:sz w:val="24"/>
          <w:szCs w:val="24"/>
        </w:rPr>
      </w:pPr>
      <w:r w:rsidRPr="00340C1B">
        <w:rPr>
          <w:sz w:val="24"/>
          <w:szCs w:val="24"/>
        </w:rPr>
        <w:t>MARA Susana y otros (2000): Evaluación de impacto de la educación inicial en el Uruguay. Administración Nacional de Educación Primaria MECAEP/ANEP/BIRF/Montevideo.</w:t>
      </w:r>
    </w:p>
    <w:p w:rsidR="00E7607D" w:rsidRDefault="00E7607D" w:rsidP="00E7607D">
      <w:pPr>
        <w:autoSpaceDE w:val="0"/>
        <w:autoSpaceDN w:val="0"/>
        <w:adjustRightInd w:val="0"/>
        <w:spacing w:before="120" w:after="240"/>
        <w:jc w:val="both"/>
        <w:rPr>
          <w:rFonts w:ascii="Times New Roman" w:hAnsi="Times New Roman" w:cs="Times New Roman"/>
          <w:lang w:val="es-ES"/>
        </w:rPr>
      </w:pPr>
      <w:r w:rsidRPr="00340C1B">
        <w:rPr>
          <w:rFonts w:ascii="Times New Roman" w:hAnsi="Times New Roman" w:cs="Times New Roman"/>
          <w:lang w:val="es-ES"/>
        </w:rPr>
        <w:t>MARCELO y ARIZA (2005): Evolución de los resultados de la educación en Colombia (1997-2003).</w:t>
      </w:r>
    </w:p>
    <w:p w:rsidR="00E7607D" w:rsidRDefault="00E7607D" w:rsidP="00E7607D">
      <w:pPr>
        <w:autoSpaceDE w:val="0"/>
        <w:autoSpaceDN w:val="0"/>
        <w:adjustRightInd w:val="0"/>
        <w:spacing w:before="120" w:after="240"/>
        <w:jc w:val="both"/>
        <w:rPr>
          <w:rFonts w:ascii="Times New Roman" w:hAnsi="Times New Roman" w:cs="Times New Roman"/>
          <w:iCs/>
          <w:lang w:eastAsia="es-ES"/>
        </w:rPr>
      </w:pPr>
      <w:r w:rsidRPr="00340C1B">
        <w:rPr>
          <w:rFonts w:ascii="Times New Roman" w:hAnsi="Times New Roman" w:cs="Times New Roman"/>
        </w:rPr>
        <w:t>MINISTERIO DE EDUCACIÓN NACIONAL (2001): Informe Nacional sobre el Desarrollo de la Educación en Colombia.</w:t>
      </w:r>
      <w:r w:rsidRPr="00340C1B">
        <w:rPr>
          <w:rFonts w:ascii="Times New Roman" w:hAnsi="Times New Roman" w:cs="Times New Roman"/>
          <w:i/>
          <w:iCs/>
          <w:lang w:eastAsia="es-ES"/>
        </w:rPr>
        <w:t xml:space="preserve"> 46ª. </w:t>
      </w:r>
      <w:r w:rsidRPr="00340C1B">
        <w:rPr>
          <w:rFonts w:ascii="Times New Roman" w:hAnsi="Times New Roman" w:cs="Times New Roman"/>
          <w:iCs/>
          <w:lang w:eastAsia="es-ES"/>
        </w:rPr>
        <w:t>Conferencia internacional de educación (CIE). Ginebra Suiza, septiembre 5 al 7 de 2001.</w:t>
      </w:r>
    </w:p>
    <w:p w:rsidR="00E7607D" w:rsidRDefault="00E7607D" w:rsidP="00E7607D">
      <w:pPr>
        <w:spacing w:before="120" w:after="240"/>
        <w:jc w:val="both"/>
        <w:rPr>
          <w:rFonts w:ascii="Times New Roman" w:hAnsi="Times New Roman" w:cs="Times New Roman"/>
          <w:color w:val="000000"/>
        </w:rPr>
      </w:pPr>
      <w:r w:rsidRPr="00340C1B">
        <w:rPr>
          <w:rFonts w:ascii="Times New Roman" w:hAnsi="Times New Roman" w:cs="Times New Roman"/>
          <w:lang w:eastAsia="es-ES"/>
        </w:rPr>
        <w:t>MINISTERIO DE EDUCACIÓN NACIONAL, UNIVERSIDAD NACIONAL DE COLOMBIA (2008): Encuesta Nacional de Deserción Escolar 2008</w:t>
      </w:r>
      <w:r w:rsidRPr="00340C1B">
        <w:rPr>
          <w:rFonts w:ascii="Times New Roman" w:hAnsi="Times New Roman" w:cs="Times New Roman"/>
          <w:color w:val="000000"/>
        </w:rPr>
        <w:t xml:space="preserve">. </w:t>
      </w:r>
    </w:p>
    <w:p w:rsidR="00E7607D" w:rsidRDefault="00E7607D" w:rsidP="00E7607D">
      <w:pPr>
        <w:tabs>
          <w:tab w:val="left" w:pos="0"/>
          <w:tab w:val="left" w:pos="540"/>
        </w:tabs>
        <w:spacing w:before="120" w:after="240"/>
        <w:jc w:val="both"/>
        <w:rPr>
          <w:rFonts w:ascii="Times New Roman" w:hAnsi="Times New Roman" w:cs="Times New Roman"/>
          <w:lang w:val="en-US"/>
        </w:rPr>
      </w:pPr>
      <w:r w:rsidRPr="00340C1B">
        <w:rPr>
          <w:rFonts w:ascii="Times New Roman" w:hAnsi="Times New Roman" w:cs="Times New Roman"/>
          <w:lang w:val="en-US"/>
        </w:rPr>
        <w:t>NUSSBAUM, Martha (2010): Not for Profit, Why Democracy Needs the Humanities, Princeton University Press.</w:t>
      </w:r>
    </w:p>
    <w:p w:rsidR="00E7607D" w:rsidRDefault="00E7607D" w:rsidP="00E7607D">
      <w:pPr>
        <w:tabs>
          <w:tab w:val="left" w:pos="0"/>
          <w:tab w:val="left" w:pos="540"/>
        </w:tabs>
        <w:spacing w:before="120" w:after="240"/>
        <w:jc w:val="both"/>
        <w:rPr>
          <w:rFonts w:ascii="Times New Roman" w:hAnsi="Times New Roman" w:cs="Times New Roman"/>
          <w:lang w:val="es-CO"/>
        </w:rPr>
      </w:pPr>
      <w:r w:rsidRPr="00340C1B">
        <w:rPr>
          <w:rFonts w:ascii="Times New Roman" w:hAnsi="Times New Roman" w:cs="Times New Roman"/>
          <w:lang w:val="es-CO"/>
        </w:rPr>
        <w:t xml:space="preserve">NUSSBAUM, Martha (2012): Crear capacidades. Propuesta para el desarrollo humano, Editorial Paidós. </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OBJETIVOS DE DESARROLLO DEL MILENIO: UNA MIRADA DESDE AMERICA LATINA Y EL CARIBE. </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ORGANIZACIÓN DE ESTADOS IBEROAMERICANOS PARA LA EDUCACIÓN, LA CIENCIA Y LA CULTURA - OEI (2010): </w:t>
      </w:r>
      <w:r w:rsidRPr="00340C1B">
        <w:rPr>
          <w:rFonts w:ascii="Times New Roman" w:hAnsi="Times New Roman" w:cs="Times New Roman"/>
          <w:i/>
        </w:rPr>
        <w:t>Metas educativas 2021. La educación que queremos para la generación de los bicentenarios</w:t>
      </w:r>
      <w:r w:rsidRPr="00340C1B">
        <w:rPr>
          <w:rFonts w:ascii="Times New Roman" w:hAnsi="Times New Roman" w:cs="Times New Roman"/>
        </w:rPr>
        <w:t xml:space="preserve">. </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ORGANIZACIÓN DE ESTADOS IBEROAMERICANOS PARA LA EDUCACIÓN, LA CIENCIA Y LA CULTURA - OEI (2010): Metas educativas 2021. La educación que queremos para la generación de los bicentenarios. </w:t>
      </w:r>
    </w:p>
    <w:p w:rsidR="00E7607D" w:rsidRDefault="00E7607D" w:rsidP="00E7607D">
      <w:pPr>
        <w:autoSpaceDE w:val="0"/>
        <w:autoSpaceDN w:val="0"/>
        <w:adjustRightInd w:val="0"/>
        <w:spacing w:before="120" w:after="240"/>
        <w:jc w:val="both"/>
        <w:rPr>
          <w:rFonts w:ascii="Times New Roman" w:hAnsi="Times New Roman" w:cs="Times New Roman"/>
          <w:lang w:val="es-CO"/>
        </w:rPr>
      </w:pPr>
      <w:r w:rsidRPr="00340C1B">
        <w:rPr>
          <w:rFonts w:ascii="Times New Roman" w:hAnsi="Times New Roman" w:cs="Times New Roman"/>
        </w:rPr>
        <w:lastRenderedPageBreak/>
        <w:t xml:space="preserve">PERRENOUD, Philippe (2012): Cuando la escuela pretende preparar para la vida. </w:t>
      </w:r>
      <w:r w:rsidRPr="00340C1B">
        <w:rPr>
          <w:rFonts w:ascii="Times New Roman" w:hAnsi="Times New Roman" w:cs="Times New Roman"/>
          <w:lang w:val="es-CO"/>
        </w:rPr>
        <w:t>Editorial Grao.</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PLAN DE DESARROLLO BOGOTÁ HUMANA 2012. </w:t>
      </w:r>
    </w:p>
    <w:p w:rsidR="00E7607D" w:rsidRDefault="00E7607D" w:rsidP="00E7607D">
      <w:pPr>
        <w:spacing w:before="120" w:after="240"/>
        <w:outlineLvl w:val="1"/>
        <w:rPr>
          <w:rFonts w:ascii="Times New Roman" w:eastAsia="Times New Roman" w:hAnsi="Times New Roman" w:cs="Times New Roman"/>
          <w:bCs/>
          <w:lang w:eastAsia="es-CO"/>
        </w:rPr>
      </w:pPr>
      <w:r w:rsidRPr="00340C1B">
        <w:rPr>
          <w:rFonts w:ascii="Times New Roman" w:eastAsia="Times New Roman" w:hAnsi="Times New Roman" w:cs="Times New Roman"/>
          <w:color w:val="3A3A3A"/>
          <w:lang w:val="es-CO" w:eastAsia="es-CO"/>
        </w:rPr>
        <w:t xml:space="preserve">PROGRAMA DE LAS NACIONES UNIDAS PARA EL DESARROLLO –PNUD (2011): </w:t>
      </w:r>
      <w:r w:rsidRPr="00340C1B">
        <w:rPr>
          <w:rFonts w:ascii="Times New Roman" w:eastAsia="Times New Roman" w:hAnsi="Times New Roman" w:cs="Times New Roman"/>
          <w:bCs/>
          <w:i/>
          <w:lang w:eastAsia="es-CO"/>
        </w:rPr>
        <w:t>Informe sobre Desarrollo Humano 2011, Sostenibilidad y equidad: un mejor futuro para todos</w:t>
      </w:r>
      <w:r w:rsidRPr="00340C1B">
        <w:rPr>
          <w:rFonts w:ascii="Times New Roman" w:eastAsia="Times New Roman" w:hAnsi="Times New Roman" w:cs="Times New Roman"/>
          <w:bCs/>
          <w:lang w:eastAsia="es-CO"/>
        </w:rPr>
        <w:t xml:space="preserve">. </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bCs/>
          <w:lang w:val="es-ES"/>
        </w:rPr>
        <w:t xml:space="preserve">PROGRAMA DE NACIONES UNIDAS PARA EL DESARROLLO EDUCACIÓN: LA AGENDA DEL SIGLO XXI. </w:t>
      </w:r>
      <w:r w:rsidRPr="00340C1B">
        <w:rPr>
          <w:rFonts w:ascii="Times New Roman" w:hAnsi="Times New Roman" w:cs="Times New Roman"/>
          <w:bCs/>
          <w:i/>
          <w:iCs/>
          <w:lang w:val="es-ES"/>
        </w:rPr>
        <w:t>Hacia Un Desarrollo Humano</w:t>
      </w:r>
      <w:r w:rsidRPr="00340C1B">
        <w:rPr>
          <w:rFonts w:ascii="Times New Roman" w:hAnsi="Times New Roman" w:cs="Times New Roman"/>
        </w:rPr>
        <w:t xml:space="preserve">. </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RESTREPO, Juan (2012): Una gente muy rara. Artículo en: </w:t>
      </w:r>
      <w:hyperlink r:id="rId41" w:history="1">
        <w:r w:rsidRPr="00340C1B">
          <w:rPr>
            <w:rStyle w:val="Hipervnculo"/>
            <w:rFonts w:ascii="Times New Roman" w:hAnsi="Times New Roman" w:cs="Times New Roman"/>
            <w:color w:val="auto"/>
          </w:rPr>
          <w:t>http://www.kienyke.com/kien-bloguea/una-gente-muy-rara/</w:t>
        </w:r>
      </w:hyperlink>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SECRETARÍA DE EDUCACIÓN DE BOGOTÁ (2010): Caracterización del sector educativo 2010 - Boletín estadístico. </w:t>
      </w:r>
    </w:p>
    <w:p w:rsidR="00E7607D" w:rsidRDefault="00E7607D" w:rsidP="00E760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SECRETARÍA DE EDUCACIÓN DEL DISTRITO – SEICE (2011): Lo que dicen los resultados de las pruebas externas en Bogotá.</w:t>
      </w:r>
    </w:p>
    <w:p w:rsidR="00E7607D" w:rsidRPr="00340C1B" w:rsidRDefault="00E7607D" w:rsidP="00E7607D">
      <w:pPr>
        <w:pStyle w:val="Textonotapie"/>
        <w:spacing w:before="120" w:after="240"/>
        <w:jc w:val="both"/>
        <w:rPr>
          <w:sz w:val="24"/>
          <w:szCs w:val="24"/>
        </w:rPr>
      </w:pPr>
      <w:r w:rsidRPr="00340C1B">
        <w:rPr>
          <w:sz w:val="24"/>
          <w:szCs w:val="24"/>
        </w:rPr>
        <w:t>SECRETARIA DE EDUCACIÓN DEL DISTRITO (2010): Resolución 174 de 2010.</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SECRETARÍA DE EDUCACIÓN DEL DISTRITO (2011): Caracterización del sector educativo año 2011. </w:t>
      </w:r>
    </w:p>
    <w:p w:rsidR="00E7607D" w:rsidRDefault="00E7607D" w:rsidP="00E7607D">
      <w:pPr>
        <w:pStyle w:val="Textonotapie"/>
        <w:spacing w:before="120" w:after="240"/>
        <w:rPr>
          <w:sz w:val="24"/>
          <w:szCs w:val="24"/>
          <w:lang w:val="es-CO"/>
        </w:rPr>
      </w:pPr>
      <w:r w:rsidRPr="00340C1B">
        <w:rPr>
          <w:sz w:val="24"/>
          <w:szCs w:val="24"/>
        </w:rPr>
        <w:t xml:space="preserve">SECRETARIA DE EDUCACIÓN DEL DISTRITO (2011): Informe de Gestión Bogotá Positiva. </w:t>
      </w:r>
      <w:r w:rsidRPr="00340C1B">
        <w:rPr>
          <w:sz w:val="24"/>
          <w:szCs w:val="24"/>
          <w:lang w:val="es-CO"/>
        </w:rPr>
        <w:t xml:space="preserve">Septiembre de 2011. </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SECRETARÍA DE EDUCACIÓN DEL DISTRITO (2012): Caracterización del sector educativo año 2012. </w:t>
      </w:r>
    </w:p>
    <w:p w:rsidR="00E7607D" w:rsidRDefault="00E7607D" w:rsidP="00E7607D">
      <w:pPr>
        <w:autoSpaceDE w:val="0"/>
        <w:autoSpaceDN w:val="0"/>
        <w:adjustRightInd w:val="0"/>
        <w:spacing w:before="120" w:after="240"/>
        <w:jc w:val="both"/>
        <w:rPr>
          <w:rFonts w:ascii="Times New Roman" w:hAnsi="Times New Roman" w:cs="Times New Roman"/>
        </w:rPr>
      </w:pPr>
      <w:r w:rsidRPr="00340C1B">
        <w:rPr>
          <w:rFonts w:ascii="Times New Roman" w:hAnsi="Times New Roman" w:cs="Times New Roman"/>
        </w:rPr>
        <w:t xml:space="preserve">SECRETARÍA DISTRITAL DE PLANEACIÓN (2011): </w:t>
      </w:r>
      <w:r w:rsidRPr="00340C1B">
        <w:rPr>
          <w:rFonts w:ascii="Times New Roman" w:hAnsi="Times New Roman" w:cs="Times New Roman"/>
          <w:i/>
        </w:rPr>
        <w:t>Primera encuesta multipropósito para Bogotá</w:t>
      </w:r>
      <w:r w:rsidRPr="00340C1B">
        <w:rPr>
          <w:rFonts w:ascii="Times New Roman" w:hAnsi="Times New Roman" w:cs="Times New Roman"/>
        </w:rPr>
        <w:t xml:space="preserve">.  </w:t>
      </w:r>
    </w:p>
    <w:p w:rsidR="00E7607D" w:rsidRPr="00340C1B" w:rsidRDefault="00E7607D" w:rsidP="00E7607D">
      <w:pPr>
        <w:autoSpaceDE w:val="0"/>
        <w:autoSpaceDN w:val="0"/>
        <w:adjustRightInd w:val="0"/>
        <w:spacing w:before="120" w:after="240"/>
        <w:rPr>
          <w:rFonts w:ascii="Times New Roman" w:hAnsi="Times New Roman" w:cs="Times New Roman"/>
        </w:rPr>
      </w:pPr>
      <w:r w:rsidRPr="00340C1B">
        <w:rPr>
          <w:rFonts w:ascii="Times New Roman" w:hAnsi="Times New Roman" w:cs="Times New Roman"/>
        </w:rPr>
        <w:t xml:space="preserve">TOMASEVSKI, Katarina. (2004): </w:t>
      </w:r>
      <w:r w:rsidRPr="00340C1B">
        <w:rPr>
          <w:rFonts w:ascii="Times New Roman" w:hAnsi="Times New Roman" w:cs="Times New Roman"/>
          <w:i/>
        </w:rPr>
        <w:t>El asalto a la educación</w:t>
      </w:r>
      <w:r w:rsidRPr="00340C1B">
        <w:rPr>
          <w:rFonts w:ascii="Times New Roman" w:hAnsi="Times New Roman" w:cs="Times New Roman"/>
        </w:rPr>
        <w:t xml:space="preserve">. Barcelona. Intermón Oxfam. </w:t>
      </w:r>
    </w:p>
    <w:p w:rsidR="00E7607D" w:rsidRDefault="00E7607D" w:rsidP="00E7607D">
      <w:pPr>
        <w:autoSpaceDE w:val="0"/>
        <w:autoSpaceDN w:val="0"/>
        <w:adjustRightInd w:val="0"/>
        <w:spacing w:before="120" w:after="240"/>
        <w:jc w:val="both"/>
        <w:rPr>
          <w:rFonts w:ascii="Times New Roman" w:hAnsi="Times New Roman" w:cs="Times New Roman"/>
          <w:lang w:val="en-US"/>
        </w:rPr>
      </w:pPr>
      <w:r w:rsidRPr="006A1245">
        <w:rPr>
          <w:rFonts w:ascii="Times New Roman" w:hAnsi="Times New Roman" w:cs="Times New Roman"/>
          <w:lang w:val="es-ES"/>
        </w:rPr>
        <w:t xml:space="preserve">VAN DER GAAG, J. 2002. </w:t>
      </w:r>
      <w:r w:rsidRPr="00340C1B">
        <w:rPr>
          <w:rFonts w:ascii="Times New Roman" w:hAnsi="Times New Roman" w:cs="Times New Roman"/>
          <w:lang w:val="en-US"/>
        </w:rPr>
        <w:t xml:space="preserve">From child development to human development. En: </w:t>
      </w:r>
      <w:r w:rsidRPr="00340C1B">
        <w:rPr>
          <w:rFonts w:ascii="Times New Roman" w:hAnsi="Times New Roman" w:cs="Times New Roman"/>
          <w:i/>
          <w:iCs/>
          <w:lang w:val="en-US"/>
        </w:rPr>
        <w:t>From Early Child Development to Human Development</w:t>
      </w:r>
      <w:r w:rsidRPr="00340C1B">
        <w:rPr>
          <w:rFonts w:ascii="Times New Roman" w:hAnsi="Times New Roman" w:cs="Times New Roman"/>
          <w:lang w:val="en-US"/>
        </w:rPr>
        <w:t>. Editado por Mary E. Young.</w:t>
      </w:r>
      <w:r w:rsidR="00946219">
        <w:rPr>
          <w:rFonts w:ascii="Times New Roman" w:hAnsi="Times New Roman" w:cs="Times New Roman"/>
          <w:lang w:val="en-US"/>
        </w:rPr>
        <w:t xml:space="preserve"> </w:t>
      </w:r>
      <w:r w:rsidRPr="00340C1B">
        <w:rPr>
          <w:rFonts w:ascii="Times New Roman" w:hAnsi="Times New Roman" w:cs="Times New Roman"/>
          <w:lang w:val="en-US"/>
        </w:rPr>
        <w:t xml:space="preserve">The World Bank. </w:t>
      </w:r>
    </w:p>
    <w:p w:rsidR="00441460" w:rsidRPr="00267985" w:rsidRDefault="00441460" w:rsidP="00267985">
      <w:pPr>
        <w:widowControl w:val="0"/>
        <w:autoSpaceDE w:val="0"/>
        <w:autoSpaceDN w:val="0"/>
        <w:adjustRightInd w:val="0"/>
        <w:rPr>
          <w:lang w:val="en-US"/>
        </w:rPr>
      </w:pPr>
    </w:p>
    <w:sectPr w:rsidR="00441460" w:rsidRPr="00267985" w:rsidSect="002846D3">
      <w:headerReference w:type="default" r:id="rId42"/>
      <w:footerReference w:type="even" r:id="rId43"/>
      <w:footerReference w:type="default" r:id="rId44"/>
      <w:headerReference w:type="first" r:id="rId45"/>
      <w:pgSz w:w="12240" w:h="15840" w:code="1"/>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067" w:rsidRDefault="007D0067" w:rsidP="0044673B">
      <w:r>
        <w:separator/>
      </w:r>
    </w:p>
  </w:endnote>
  <w:endnote w:type="continuationSeparator" w:id="0">
    <w:p w:rsidR="007D0067" w:rsidRDefault="007D0067" w:rsidP="00446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RijksoverheidSansText">
    <w:altName w:val="Cambria"/>
    <w:panose1 w:val="00000000000000000000"/>
    <w:charset w:val="00"/>
    <w:family w:val="swiss"/>
    <w:notTrueType/>
    <w:pitch w:val="default"/>
    <w:sig w:usb0="00000003" w:usb1="00000000" w:usb2="00000000" w:usb3="00000000" w:csb0="00000001" w:csb1="00000000"/>
  </w:font>
  <w:font w:name="Maiandra GD">
    <w:altName w:val="Helvetica Neue Black Condensed"/>
    <w:panose1 w:val="020E0502030308020204"/>
    <w:charset w:val="00"/>
    <w:family w:val="swiss"/>
    <w:pitch w:val="variable"/>
    <w:sig w:usb0="00000003" w:usb1="00000000" w:usb2="00000000" w:usb3="00000000" w:csb0="00000001" w:csb1="00000000"/>
  </w:font>
  <w:font w:name="Times">
    <w:panose1 w:val="02020603060405020304"/>
    <w:charset w:val="00"/>
    <w:family w:val="roman"/>
    <w:pitch w:val="variable"/>
    <w:sig w:usb0="20002A87" w:usb1="80000000" w:usb2="00000008" w:usb3="00000000" w:csb0="000001FF" w:csb1="00000000"/>
  </w:font>
  <w:font w:name="NewBaskervilleStd-Roman">
    <w:altName w:val="MS Mincho"/>
    <w:panose1 w:val="00000000000000000000"/>
    <w:charset w:val="80"/>
    <w:family w:val="auto"/>
    <w:notTrueType/>
    <w:pitch w:val="default"/>
    <w:sig w:usb0="00000000" w:usb1="08070000" w:usb2="00000010" w:usb3="00000000" w:csb0="00020000" w:csb1="00000000"/>
  </w:font>
  <w:font w:name="Helvetica">
    <w:panose1 w:val="020B0504020202030204"/>
    <w:charset w:val="00"/>
    <w:family w:val="swiss"/>
    <w:notTrueType/>
    <w:pitch w:val="variable"/>
    <w:sig w:usb0="00000003" w:usb1="00000000" w:usb2="00000000" w:usb3="00000000" w:csb0="00000001" w:csb1="00000000"/>
  </w:font>
  <w:font w:name="KozGoPro-Bold">
    <w:altName w:val="MS Mincho"/>
    <w:panose1 w:val="00000000000000000000"/>
    <w:charset w:val="80"/>
    <w:family w:val="auto"/>
    <w:notTrueType/>
    <w:pitch w:val="default"/>
    <w:sig w:usb0="00000001" w:usb1="08070000" w:usb2="00000010" w:usb3="00000000" w:csb0="00020000" w:csb1="00000000"/>
  </w:font>
  <w:font w:name="LucidaSans">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MyriadPro-Light">
    <w:altName w:val="Cambria"/>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22" w:rsidRDefault="00DE7322" w:rsidP="0035377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E7322" w:rsidRDefault="00DE7322" w:rsidP="00E573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22" w:rsidRDefault="00DE7322" w:rsidP="0035377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A1245">
      <w:rPr>
        <w:rStyle w:val="Nmerodepgina"/>
        <w:noProof/>
      </w:rPr>
      <w:t>85</w:t>
    </w:r>
    <w:r>
      <w:rPr>
        <w:rStyle w:val="Nmerodepgina"/>
      </w:rPr>
      <w:fldChar w:fldCharType="end"/>
    </w:r>
  </w:p>
  <w:p w:rsidR="00DE7322" w:rsidRDefault="00DE7322" w:rsidP="00E57373">
    <w:pPr>
      <w:pStyle w:val="Piedepgina"/>
      <w:ind w:right="360"/>
      <w:jc w:val="right"/>
    </w:pPr>
  </w:p>
  <w:p w:rsidR="00DE7322" w:rsidRDefault="00DE73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067" w:rsidRDefault="007D0067" w:rsidP="0044673B">
      <w:r>
        <w:separator/>
      </w:r>
    </w:p>
  </w:footnote>
  <w:footnote w:type="continuationSeparator" w:id="0">
    <w:p w:rsidR="007D0067" w:rsidRDefault="007D0067" w:rsidP="0044673B">
      <w:r>
        <w:continuationSeparator/>
      </w:r>
    </w:p>
  </w:footnote>
  <w:footnote w:id="1">
    <w:p w:rsidR="00DE7322" w:rsidRPr="004731E2" w:rsidRDefault="00DE7322" w:rsidP="004731E2">
      <w:pPr>
        <w:autoSpaceDE w:val="0"/>
        <w:autoSpaceDN w:val="0"/>
        <w:adjustRightInd w:val="0"/>
        <w:jc w:val="both"/>
        <w:rPr>
          <w:rFonts w:ascii="Times New Roman" w:hAnsi="Times New Roman" w:cs="Times New Roman"/>
          <w:bCs/>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INSTITUTO INTERNACIONAL DE PLANEAMIENTO DE LA EDUCACIÓN IIPE (2004): </w:t>
      </w:r>
      <w:r w:rsidRPr="004731E2">
        <w:rPr>
          <w:rFonts w:ascii="Times New Roman" w:hAnsi="Times New Roman" w:cs="Times New Roman"/>
          <w:bCs/>
          <w:sz w:val="18"/>
          <w:szCs w:val="18"/>
        </w:rPr>
        <w:t>Educación y equidad. Algunos aportes desde la noción de educabilidad</w:t>
      </w:r>
      <w:r w:rsidRPr="004731E2">
        <w:rPr>
          <w:rFonts w:ascii="Times New Roman" w:hAnsi="Times New Roman" w:cs="Times New Roman"/>
          <w:sz w:val="18"/>
          <w:szCs w:val="18"/>
        </w:rPr>
        <w:t xml:space="preserve">. Buenos Aires. Pp.1. Véase en: </w:t>
      </w:r>
      <w:hyperlink r:id="rId1" w:history="1">
        <w:r w:rsidRPr="004731E2">
          <w:rPr>
            <w:rStyle w:val="Hipervnculo"/>
            <w:rFonts w:ascii="Times New Roman" w:hAnsi="Times New Roman" w:cs="Times New Roman"/>
            <w:color w:val="auto"/>
            <w:sz w:val="18"/>
            <w:szCs w:val="18"/>
            <w:u w:val="none"/>
          </w:rPr>
          <w:t>http://unesdoc.unesco.org/images/0014/001417/141736s.pdf</w:t>
        </w:r>
      </w:hyperlink>
    </w:p>
  </w:footnote>
  <w:footnote w:id="2">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ORGANIZACIÓN DE ESTADOS IBEROAMERICANOS PARA LA EDUCACIÓN, LA CIENCIA Y LA CULTURA - OEI (2010): Metas educativas 2021. La educación que queremos para la generación de los bicentenarios. Pp. 16. </w:t>
      </w:r>
    </w:p>
  </w:footnote>
  <w:footnote w:id="3">
    <w:p w:rsidR="00DE7322" w:rsidRPr="004731E2" w:rsidRDefault="00DE7322" w:rsidP="004731E2">
      <w:pPr>
        <w:autoSpaceDE w:val="0"/>
        <w:autoSpaceDN w:val="0"/>
        <w:adjustRightInd w:val="0"/>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TOMASEVSKI, Katarina. (2004): El asalto a la educación. Barcelona: Intermón Oxfam, Pp. 19.</w:t>
      </w:r>
    </w:p>
  </w:footnote>
  <w:footnote w:id="4">
    <w:p w:rsidR="00DE7322" w:rsidRPr="004731E2" w:rsidRDefault="00DE7322" w:rsidP="004731E2">
      <w:pPr>
        <w:outlineLvl w:val="1"/>
        <w:rPr>
          <w:rFonts w:ascii="Times New Roman" w:eastAsia="Times New Roman" w:hAnsi="Times New Roman" w:cs="Times New Roman"/>
          <w:bCs/>
          <w:sz w:val="18"/>
          <w:szCs w:val="18"/>
          <w:lang w:eastAsia="es-CO"/>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eastAsia="Times New Roman" w:hAnsi="Times New Roman" w:cs="Times New Roman"/>
          <w:color w:val="3A3A3A"/>
          <w:sz w:val="18"/>
          <w:szCs w:val="18"/>
          <w:lang w:val="es-CO" w:eastAsia="es-CO"/>
        </w:rPr>
        <w:t xml:space="preserve">PROGRAMA DE LAS NACIONES UNIDAS PARA EL DESARROLLO –PNUD (2011): </w:t>
      </w:r>
      <w:r w:rsidRPr="004731E2">
        <w:rPr>
          <w:rFonts w:ascii="Times New Roman" w:eastAsia="Times New Roman" w:hAnsi="Times New Roman" w:cs="Times New Roman"/>
          <w:bCs/>
          <w:sz w:val="18"/>
          <w:szCs w:val="18"/>
          <w:lang w:eastAsia="es-CO"/>
        </w:rPr>
        <w:t xml:space="preserve">Informe sobre Desarrollo Humano 2011, Sostenibilidad y equidad: un mejor futuro para todos. </w:t>
      </w:r>
    </w:p>
  </w:footnote>
  <w:footnote w:id="5">
    <w:p w:rsidR="00DE7322" w:rsidRPr="004731E2" w:rsidRDefault="00DE7322" w:rsidP="004731E2">
      <w:pPr>
        <w:autoSpaceDE w:val="0"/>
        <w:autoSpaceDN w:val="0"/>
        <w:adjustRightInd w:val="0"/>
        <w:jc w:val="both"/>
        <w:rPr>
          <w:rFonts w:ascii="Times New Roman" w:eastAsiaTheme="minorHAnsi" w:hAnsi="Times New Roman" w:cs="Times New Roman"/>
          <w:i/>
          <w:iCs/>
          <w:sz w:val="18"/>
          <w:szCs w:val="18"/>
          <w:lang w:val="es-ES" w:eastAsia="en-U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eastAsiaTheme="minorHAnsi" w:hAnsi="Times New Roman" w:cs="Times New Roman"/>
          <w:sz w:val="18"/>
          <w:szCs w:val="18"/>
          <w:lang w:val="es-ES" w:eastAsia="en-US"/>
        </w:rPr>
        <w:t xml:space="preserve">CEPAL/UNESCO (2005). </w:t>
      </w:r>
      <w:r w:rsidRPr="004731E2">
        <w:rPr>
          <w:rFonts w:ascii="Times New Roman" w:eastAsiaTheme="minorHAnsi" w:hAnsi="Times New Roman" w:cs="Times New Roman"/>
          <w:i/>
          <w:iCs/>
          <w:sz w:val="18"/>
          <w:szCs w:val="18"/>
          <w:lang w:val="es-ES" w:eastAsia="en-US"/>
        </w:rPr>
        <w:t xml:space="preserve">Invertir mejor para invertir más. Financiamiento y gestión de la educación en América Latina y el Caribe. </w:t>
      </w:r>
      <w:r w:rsidRPr="004731E2">
        <w:rPr>
          <w:rFonts w:ascii="Times New Roman" w:eastAsiaTheme="minorHAnsi" w:hAnsi="Times New Roman" w:cs="Times New Roman"/>
          <w:sz w:val="18"/>
          <w:szCs w:val="18"/>
          <w:lang w:val="es-ES" w:eastAsia="en-US"/>
        </w:rPr>
        <w:t>Santiago de Chile</w:t>
      </w:r>
      <w:r w:rsidRPr="004731E2">
        <w:rPr>
          <w:rFonts w:ascii="Times New Roman" w:eastAsiaTheme="minorHAnsi" w:hAnsi="Times New Roman" w:cs="Times New Roman"/>
          <w:i/>
          <w:iCs/>
          <w:sz w:val="18"/>
          <w:szCs w:val="18"/>
          <w:lang w:val="es-ES" w:eastAsia="en-US"/>
        </w:rPr>
        <w:t xml:space="preserve">. </w:t>
      </w:r>
      <w:r w:rsidRPr="004731E2">
        <w:rPr>
          <w:rFonts w:ascii="Times New Roman" w:eastAsiaTheme="minorHAnsi" w:hAnsi="Times New Roman" w:cs="Times New Roman"/>
          <w:sz w:val="18"/>
          <w:szCs w:val="18"/>
          <w:lang w:val="es-ES" w:eastAsia="en-US"/>
        </w:rPr>
        <w:t>Naciones Unidas.</w:t>
      </w:r>
    </w:p>
  </w:footnote>
  <w:footnote w:id="6">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SECRETARÍA DE EDUCACIÓN DEL DISTRITO</w:t>
      </w:r>
      <w:r>
        <w:rPr>
          <w:rFonts w:ascii="Times New Roman" w:hAnsi="Times New Roman" w:cs="Times New Roman"/>
          <w:sz w:val="18"/>
          <w:szCs w:val="18"/>
        </w:rPr>
        <w:t xml:space="preserve"> (2012): </w:t>
      </w:r>
      <w:r w:rsidRPr="004731E2">
        <w:rPr>
          <w:rFonts w:ascii="Times New Roman" w:hAnsi="Times New Roman" w:cs="Times New Roman"/>
          <w:sz w:val="18"/>
          <w:szCs w:val="18"/>
        </w:rPr>
        <w:t>Caracterizació</w:t>
      </w:r>
      <w:r>
        <w:rPr>
          <w:rFonts w:ascii="Times New Roman" w:hAnsi="Times New Roman" w:cs="Times New Roman"/>
          <w:sz w:val="18"/>
          <w:szCs w:val="18"/>
        </w:rPr>
        <w:t>n del sector educativo año 2012.</w:t>
      </w:r>
      <w:r w:rsidRPr="004731E2">
        <w:rPr>
          <w:rFonts w:ascii="Times New Roman" w:hAnsi="Times New Roman" w:cs="Times New Roman"/>
          <w:sz w:val="18"/>
          <w:szCs w:val="18"/>
        </w:rPr>
        <w:t xml:space="preserve"> P.33. </w:t>
      </w:r>
    </w:p>
  </w:footnote>
  <w:footnote w:id="7">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Resultados consolidados por la Dirección de Evaluación de la SED. </w:t>
      </w:r>
    </w:p>
  </w:footnote>
  <w:footnote w:id="8">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DE EDUCACIÓN DEL DISTRITO</w:t>
      </w:r>
      <w:r>
        <w:rPr>
          <w:rFonts w:ascii="Times New Roman" w:hAnsi="Times New Roman" w:cs="Times New Roman"/>
          <w:sz w:val="18"/>
          <w:szCs w:val="18"/>
        </w:rPr>
        <w:t xml:space="preserve"> (2011): </w:t>
      </w:r>
      <w:r w:rsidRPr="004731E2">
        <w:rPr>
          <w:rFonts w:ascii="Times New Roman" w:hAnsi="Times New Roman" w:cs="Times New Roman"/>
          <w:sz w:val="18"/>
          <w:szCs w:val="18"/>
        </w:rPr>
        <w:t>Caracterizació</w:t>
      </w:r>
      <w:r>
        <w:rPr>
          <w:rFonts w:ascii="Times New Roman" w:hAnsi="Times New Roman" w:cs="Times New Roman"/>
          <w:sz w:val="18"/>
          <w:szCs w:val="18"/>
        </w:rPr>
        <w:t>n del sector educativo año 2011</w:t>
      </w:r>
      <w:r w:rsidRPr="004731E2">
        <w:rPr>
          <w:rFonts w:ascii="Times New Roman" w:hAnsi="Times New Roman" w:cs="Times New Roman"/>
          <w:sz w:val="18"/>
          <w:szCs w:val="18"/>
        </w:rPr>
        <w:t xml:space="preserve">. Pp. 16. </w:t>
      </w:r>
    </w:p>
  </w:footnote>
  <w:footnote w:id="9">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SECRETARÍA DISTRITAL DE PLANEACIÓN (2011): Primera encuesta multipropósito para Bogotá.  Pp. 53.</w:t>
      </w:r>
    </w:p>
  </w:footnote>
  <w:footnote w:id="10">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Al respecto véase: CHAUX</w:t>
      </w:r>
      <w:r>
        <w:rPr>
          <w:rFonts w:ascii="Times New Roman" w:hAnsi="Times New Roman" w:cs="Times New Roman"/>
          <w:sz w:val="18"/>
          <w:szCs w:val="18"/>
        </w:rPr>
        <w:t>,</w:t>
      </w:r>
      <w:r w:rsidRPr="004731E2">
        <w:rPr>
          <w:rFonts w:ascii="Times New Roman" w:hAnsi="Times New Roman" w:cs="Times New Roman"/>
          <w:sz w:val="18"/>
          <w:szCs w:val="18"/>
        </w:rPr>
        <w:t xml:space="preserve"> Enrique (2012): Educación, convivencia y agresión escolar. Bogotá. Ediciones Uniandes.  </w:t>
      </w:r>
    </w:p>
  </w:footnote>
  <w:footnote w:id="11">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Incluyendo a la Secretaría de Educación, la Universidad Distrital y la educación inicial que ofrece la Secretaría Distrital de Integración Social. </w:t>
      </w:r>
    </w:p>
  </w:footnote>
  <w:footnote w:id="12">
    <w:p w:rsidR="00DE7322" w:rsidRPr="00B16060" w:rsidRDefault="00DE7322" w:rsidP="00B16060">
      <w:pPr>
        <w:widowControl w:val="0"/>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De acuerdo con el artículo 5 del Decreto 330 de 2008, que establece la estructura y funciones de la Secretaría de Educación de Bogotá, le corresponde al Secretario de Educación “E. Liderar la formulación del Plan Sectorial de Educación, y los demás planes, programas y proyectos para el cumplimiento de la misión y el desarrollo de la gestión de la Secretaría de Educación del Distrito” y de acuerdo con el artículo 6 la responsabilidad por la elaboración del plan sectorial corresponde a la Oficina Asesora de Planeación: “B. Dirigir y orientar la elaboración del Plan Sectorial de Educación, de conformidad con el Plan de Desarrollo del Distrito, las normas legales sobre la materia y adelantar el seguimiento pertinente tendiente a garantizar su e</w:t>
      </w:r>
      <w:r>
        <w:rPr>
          <w:rFonts w:ascii="Times New Roman" w:hAnsi="Times New Roman" w:cs="Times New Roman"/>
          <w:sz w:val="18"/>
          <w:szCs w:val="18"/>
        </w:rPr>
        <w:t>jecución, evaluación y ajuste.”</w:t>
      </w:r>
    </w:p>
  </w:footnote>
  <w:footnote w:id="13">
    <w:p w:rsidR="00DE7322" w:rsidRPr="009B1FFA" w:rsidRDefault="00DE7322" w:rsidP="009B1FFA">
      <w:pPr>
        <w:widowControl w:val="0"/>
        <w:autoSpaceDE w:val="0"/>
        <w:autoSpaceDN w:val="0"/>
        <w:adjustRightInd w:val="0"/>
        <w:jc w:val="both"/>
        <w:rPr>
          <w:rFonts w:ascii="Times New Roman" w:hAnsi="Times New Roman" w:cs="Times New Roman"/>
          <w:sz w:val="18"/>
          <w:szCs w:val="18"/>
        </w:rPr>
      </w:pPr>
      <w:r w:rsidRPr="009B1FFA">
        <w:rPr>
          <w:rStyle w:val="Refdenotaalpie"/>
          <w:rFonts w:ascii="Times New Roman" w:hAnsi="Times New Roman" w:cs="Times New Roman"/>
          <w:sz w:val="18"/>
        </w:rPr>
        <w:footnoteRef/>
      </w:r>
      <w:r w:rsidRPr="009B1FFA">
        <w:rPr>
          <w:rFonts w:ascii="Times New Roman" w:hAnsi="Times New Roman" w:cs="Times New Roman"/>
          <w:sz w:val="18"/>
          <w:szCs w:val="18"/>
        </w:rPr>
        <w:t xml:space="preserve"> Se realizaron 9 sesiones de trabajo con 17 de las 20 localidades del Distrito, con la asistencia de cerca de 1.500 personas.</w:t>
      </w:r>
    </w:p>
  </w:footnote>
  <w:footnote w:id="14">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DECLARACIÓN UNIVERSAL DE DERECHOS HUMANOS (1948): Artículo 26.</w:t>
      </w:r>
    </w:p>
  </w:footnote>
  <w:footnote w:id="15">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Como el Pacto Internacional de Derechos Económicos, Sociales y Culturales (arts. 13 y 14), el Pacto Internacional de Derechos Civiles y Políticos (párrafo 4 del artículo 18), la Convención sobre los Derechos del Niño (arts. 28 a 31), la Convención Internacional sobre la Eliminación de Todas las Formas de Discriminación Racial (apartado v) del párrafo e) del artículo 5), la Convención sobre la eliminación de todas las formas de discriminación contra la mujer (art. 10), el Convenio Nº 111 de la Organización Internacional del Trabajo (OIT) sobre la discriminación (empleo y ocupación) (art. 3), el Convenio Nº 117 de la OIT sobre política social (normas y objetivos básicos) (arts. 15 y 16), la Convención relativa a la lucha contra las discriminaciones en la esfera de la enseñanza, y en la Declaración Mundial sobre Educación para Todos (UNESCO, 1990), los Objetivos de Desarrollo del Milenio, entre otros.</w:t>
      </w:r>
    </w:p>
  </w:footnote>
  <w:footnote w:id="16">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Al respecto, el Nobel de Economía de 1998, Amartya Sen, </w:t>
      </w:r>
      <w:r w:rsidRPr="004731E2">
        <w:rPr>
          <w:rFonts w:ascii="Times New Roman" w:hAnsi="Times New Roman" w:cs="Times New Roman"/>
          <w:color w:val="222222"/>
          <w:sz w:val="18"/>
          <w:szCs w:val="18"/>
        </w:rPr>
        <w:t>ha criticado la visión convencional de un utilitarismo estrecho, que cifra la calidad de vida y el desarrollo en indicadores tan restrictivos como el del incremento de su Producto Interno Bruto.</w:t>
      </w:r>
    </w:p>
  </w:footnote>
  <w:footnote w:id="17">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bCs/>
          <w:sz w:val="18"/>
          <w:szCs w:val="18"/>
          <w:lang w:val="es-ES"/>
        </w:rPr>
        <w:t xml:space="preserve"> PROGRAMA DE NACIONES UNIDAS PARA EL DESARROLLO EDUCACIÓN: LA AGENDA DEL SIGLO XXI. </w:t>
      </w:r>
      <w:r w:rsidRPr="004731E2">
        <w:rPr>
          <w:rFonts w:ascii="Times New Roman" w:hAnsi="Times New Roman" w:cs="Times New Roman"/>
          <w:bCs/>
          <w:i/>
          <w:iCs/>
          <w:sz w:val="18"/>
          <w:szCs w:val="18"/>
          <w:lang w:val="es-ES"/>
        </w:rPr>
        <w:t>Hacia Un Desarrollo Humano</w:t>
      </w:r>
      <w:r w:rsidRPr="004731E2">
        <w:rPr>
          <w:rFonts w:ascii="Times New Roman" w:hAnsi="Times New Roman" w:cs="Times New Roman"/>
          <w:sz w:val="18"/>
          <w:szCs w:val="18"/>
        </w:rPr>
        <w:t>. Pp. 37.</w:t>
      </w:r>
    </w:p>
  </w:footnote>
  <w:footnote w:id="18">
    <w:p w:rsidR="00DE7322" w:rsidRPr="004731E2" w:rsidRDefault="00DE7322" w:rsidP="004731E2">
      <w:pPr>
        <w:autoSpaceDE w:val="0"/>
        <w:autoSpaceDN w:val="0"/>
        <w:adjustRightInd w:val="0"/>
        <w:rPr>
          <w:rFonts w:ascii="Times New Roman" w:hAnsi="Times New Roman" w:cs="Times New Roman"/>
          <w:bCs/>
          <w:sz w:val="18"/>
          <w:szCs w:val="18"/>
          <w:lang w:val="es-E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hAnsi="Times New Roman" w:cs="Times New Roman"/>
          <w:bCs/>
          <w:sz w:val="18"/>
          <w:szCs w:val="18"/>
          <w:lang w:val="es-ES"/>
        </w:rPr>
        <w:t xml:space="preserve">PROGRAMA DE NACIONES UNIDAS PARA EL DESARROLLO EDUCACIÓN: LA AGENDA DEL SIGLO XXI. </w:t>
      </w:r>
      <w:r w:rsidRPr="004731E2">
        <w:rPr>
          <w:rFonts w:ascii="Times New Roman" w:hAnsi="Times New Roman" w:cs="Times New Roman"/>
          <w:bCs/>
          <w:i/>
          <w:iCs/>
          <w:sz w:val="18"/>
          <w:szCs w:val="18"/>
          <w:lang w:val="es-ES"/>
        </w:rPr>
        <w:t>Hacia Un Desarrollo Humano.</w:t>
      </w:r>
    </w:p>
  </w:footnote>
  <w:footnote w:id="19">
    <w:p w:rsidR="00DE7322" w:rsidRPr="004731E2" w:rsidRDefault="00DE7322" w:rsidP="004731E2">
      <w:pPr>
        <w:autoSpaceDE w:val="0"/>
        <w:autoSpaceDN w:val="0"/>
        <w:adjustRightInd w:val="0"/>
        <w:rPr>
          <w:rFonts w:ascii="Times New Roman" w:hAnsi="Times New Roman" w:cs="Times New Roman"/>
          <w:bCs/>
          <w:sz w:val="18"/>
          <w:szCs w:val="18"/>
          <w:lang w:val="es-E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En este contexto la rentabilidad es entendida desde una pluralidad donde entran en juego elementos cualitativamente distintos de la calidad de vida de las personas, no siempre susceptibles de medición cuantitativa.</w:t>
      </w:r>
    </w:p>
  </w:footnote>
  <w:footnote w:id="20">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OBJETIVOS DE DESARROLLO DEL MILENIO: UNA MIRADA DESDE AMERICA LATINA Y EL CARIBE. Capítulo 3 La educación como eje del desarrollo humano. Pp. 84. </w:t>
      </w:r>
    </w:p>
  </w:footnote>
  <w:footnote w:id="21">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eastAsia="Times New Roman" w:hAnsi="Times New Roman" w:cs="Times New Roman"/>
          <w:sz w:val="18"/>
          <w:szCs w:val="18"/>
          <w:lang w:eastAsia="es-ES"/>
        </w:rPr>
        <w:t xml:space="preserve"> </w:t>
      </w:r>
      <w:r w:rsidRPr="004731E2">
        <w:rPr>
          <w:rFonts w:ascii="Times New Roman" w:hAnsi="Times New Roman" w:cs="Times New Roman"/>
          <w:sz w:val="18"/>
          <w:szCs w:val="18"/>
          <w:lang w:val="es-ES"/>
        </w:rPr>
        <w:t>MARCELO y ARIZA (2005): Evolución de los resultados de la educación en Colombia (1997-2003). En:</w:t>
      </w:r>
      <w:r w:rsidRPr="004731E2">
        <w:rPr>
          <w:rFonts w:ascii="Times New Roman" w:hAnsi="Times New Roman" w:cs="Times New Roman"/>
          <w:b/>
          <w:sz w:val="18"/>
          <w:szCs w:val="18"/>
          <w:lang w:val="es-ES"/>
        </w:rPr>
        <w:t xml:space="preserve"> </w:t>
      </w:r>
      <w:hyperlink r:id="rId2" w:history="1">
        <w:r w:rsidRPr="004731E2">
          <w:rPr>
            <w:rStyle w:val="Hipervnculo"/>
            <w:rFonts w:ascii="Times New Roman" w:hAnsi="Times New Roman" w:cs="Times New Roman"/>
            <w:color w:val="auto"/>
            <w:sz w:val="18"/>
            <w:szCs w:val="18"/>
          </w:rPr>
          <w:t>http://www.dnp.gov.co/Portals/0/archivos/documentos/DEE/Archivos_Economia/286.pdf</w:t>
        </w:r>
      </w:hyperlink>
      <w:r w:rsidRPr="004731E2">
        <w:rPr>
          <w:rFonts w:ascii="Times New Roman" w:hAnsi="Times New Roman" w:cs="Times New Roman"/>
          <w:sz w:val="18"/>
          <w:szCs w:val="18"/>
        </w:rPr>
        <w:t xml:space="preserve"> </w:t>
      </w:r>
    </w:p>
  </w:footnote>
  <w:footnote w:id="22">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eastAsia="Times New Roman" w:hAnsi="Times New Roman" w:cs="Times New Roman"/>
          <w:sz w:val="18"/>
          <w:szCs w:val="18"/>
          <w:lang w:eastAsia="es-ES"/>
        </w:rPr>
        <w:t xml:space="preserve"> </w:t>
      </w:r>
      <w:r w:rsidRPr="004731E2">
        <w:rPr>
          <w:rFonts w:ascii="Times New Roman" w:hAnsi="Times New Roman" w:cs="Times New Roman"/>
          <w:sz w:val="18"/>
          <w:szCs w:val="18"/>
          <w:lang w:val="es-ES"/>
        </w:rPr>
        <w:t>MARCELO y ARIZA (2005): Evolución de los resultados de la educación en Colombia (1997-2003). En:</w:t>
      </w:r>
      <w:r w:rsidRPr="004731E2">
        <w:rPr>
          <w:rFonts w:ascii="Times New Roman" w:hAnsi="Times New Roman" w:cs="Times New Roman"/>
          <w:b/>
          <w:sz w:val="18"/>
          <w:szCs w:val="18"/>
          <w:lang w:val="es-ES"/>
        </w:rPr>
        <w:t xml:space="preserve"> </w:t>
      </w:r>
      <w:hyperlink r:id="rId3" w:history="1">
        <w:r w:rsidRPr="004731E2">
          <w:rPr>
            <w:rStyle w:val="Hipervnculo"/>
            <w:rFonts w:ascii="Times New Roman" w:hAnsi="Times New Roman" w:cs="Times New Roman"/>
            <w:color w:val="auto"/>
            <w:sz w:val="18"/>
            <w:szCs w:val="18"/>
          </w:rPr>
          <w:t>http://www.dnp.gov.co/Portals/0/archivos/documentos/DEE/Archivos_Economia/286.pdf</w:t>
        </w:r>
      </w:hyperlink>
      <w:r w:rsidRPr="004731E2">
        <w:rPr>
          <w:rFonts w:ascii="Times New Roman" w:hAnsi="Times New Roman" w:cs="Times New Roman"/>
          <w:sz w:val="18"/>
          <w:szCs w:val="18"/>
        </w:rPr>
        <w:t xml:space="preserve"> Pp. 46.</w:t>
      </w:r>
    </w:p>
  </w:footnote>
  <w:footnote w:id="23">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DECLARACIÓN UNIVERSAL DE DERECHOS HUMANOS (1948): Artículo 26.</w:t>
      </w:r>
    </w:p>
  </w:footnote>
  <w:footnote w:id="24">
    <w:p w:rsidR="00DE7322" w:rsidRPr="004731E2" w:rsidRDefault="00DE7322" w:rsidP="004731E2">
      <w:pPr>
        <w:tabs>
          <w:tab w:val="left" w:pos="0"/>
          <w:tab w:val="left" w:pos="540"/>
        </w:tabs>
        <w:jc w:val="both"/>
        <w:rPr>
          <w:rFonts w:ascii="Times New Roman" w:hAnsi="Times New Roman" w:cs="Times New Roman"/>
          <w:sz w:val="18"/>
          <w:szCs w:val="18"/>
          <w:lang w:val="en-U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lang w:val="es-CO"/>
        </w:rPr>
        <w:t xml:space="preserve"> NUSSBAUM, Martha (2012): Crear capacidades. Propuesta para el desarrollo humano, Editorial Paidós. </w:t>
      </w:r>
      <w:r w:rsidRPr="004731E2">
        <w:rPr>
          <w:rFonts w:ascii="Times New Roman" w:hAnsi="Times New Roman" w:cs="Times New Roman"/>
          <w:sz w:val="18"/>
          <w:szCs w:val="18"/>
          <w:lang w:val="en-US"/>
        </w:rPr>
        <w:t>Pp.53 - 55.</w:t>
      </w:r>
    </w:p>
  </w:footnote>
  <w:footnote w:id="25">
    <w:p w:rsidR="00DE7322" w:rsidRPr="006C5926" w:rsidRDefault="00DE7322" w:rsidP="004731E2">
      <w:pPr>
        <w:tabs>
          <w:tab w:val="left" w:pos="0"/>
          <w:tab w:val="left" w:pos="540"/>
        </w:tabs>
        <w:jc w:val="both"/>
        <w:rPr>
          <w:rFonts w:ascii="Times New Roman" w:hAnsi="Times New Roman" w:cs="Times New Roman"/>
          <w:sz w:val="18"/>
          <w:szCs w:val="18"/>
          <w:lang w:val="es-CO"/>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lang w:val="en-US"/>
        </w:rPr>
        <w:t xml:space="preserve"> NUSSBAUM</w:t>
      </w:r>
      <w:r>
        <w:rPr>
          <w:rFonts w:ascii="Times New Roman" w:hAnsi="Times New Roman" w:cs="Times New Roman"/>
          <w:sz w:val="18"/>
          <w:szCs w:val="18"/>
          <w:lang w:val="en-US"/>
        </w:rPr>
        <w:t>, Martha (2010):</w:t>
      </w:r>
      <w:r w:rsidRPr="004731E2">
        <w:rPr>
          <w:rFonts w:ascii="Times New Roman" w:hAnsi="Times New Roman" w:cs="Times New Roman"/>
          <w:sz w:val="18"/>
          <w:szCs w:val="18"/>
          <w:lang w:val="en-US"/>
        </w:rPr>
        <w:t xml:space="preserve"> Not for Profit, Why Democracy Needs the Humanities, Princeton University Press</w:t>
      </w:r>
      <w:r>
        <w:rPr>
          <w:rFonts w:ascii="Times New Roman" w:hAnsi="Times New Roman" w:cs="Times New Roman"/>
          <w:sz w:val="18"/>
          <w:szCs w:val="18"/>
          <w:lang w:val="en-US"/>
        </w:rPr>
        <w:t xml:space="preserve">. </w:t>
      </w:r>
      <w:r w:rsidRPr="006C5926">
        <w:rPr>
          <w:rFonts w:ascii="Times New Roman" w:hAnsi="Times New Roman" w:cs="Times New Roman"/>
          <w:sz w:val="18"/>
          <w:szCs w:val="18"/>
          <w:lang w:val="es-CO"/>
        </w:rPr>
        <w:t>Pp.25-26.</w:t>
      </w:r>
    </w:p>
  </w:footnote>
  <w:footnote w:id="26">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DELORS, Jacques, La educación encierra un tesoro. Informe a la UNESCO de la Comisión Internacional sobre la educación para el siglo XXI. </w:t>
      </w:r>
    </w:p>
  </w:footnote>
  <w:footnote w:id="27">
    <w:p w:rsidR="00DE7322" w:rsidRPr="004731E2" w:rsidRDefault="00DE7322" w:rsidP="004731E2">
      <w:pPr>
        <w:autoSpaceDE w:val="0"/>
        <w:autoSpaceDN w:val="0"/>
        <w:adjustRightInd w:val="0"/>
        <w:jc w:val="both"/>
        <w:rPr>
          <w:rFonts w:ascii="Times New Roman" w:hAnsi="Times New Roman" w:cs="Times New Roman"/>
          <w:sz w:val="18"/>
          <w:szCs w:val="18"/>
          <w:lang w:val="en-U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PERRENOUD, Philippe (2012): Cuando la escuela pretende preparar para la vida. </w:t>
      </w:r>
      <w:r w:rsidRPr="004731E2">
        <w:rPr>
          <w:rFonts w:ascii="Times New Roman" w:hAnsi="Times New Roman" w:cs="Times New Roman"/>
          <w:sz w:val="18"/>
          <w:szCs w:val="18"/>
          <w:lang w:val="en-US"/>
        </w:rPr>
        <w:t xml:space="preserve">Editorial Grao. Pp. 12. </w:t>
      </w:r>
    </w:p>
  </w:footnote>
  <w:footnote w:id="28">
    <w:p w:rsidR="00DE7322" w:rsidRPr="004731E2" w:rsidRDefault="00DE7322" w:rsidP="004731E2">
      <w:pPr>
        <w:tabs>
          <w:tab w:val="left" w:pos="0"/>
          <w:tab w:val="left" w:pos="540"/>
        </w:tabs>
        <w:jc w:val="both"/>
        <w:rPr>
          <w:rFonts w:ascii="Times New Roman" w:hAnsi="Times New Roman" w:cs="Times New Roman"/>
          <w:sz w:val="18"/>
          <w:szCs w:val="18"/>
          <w:lang w:val="en-U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lang w:val="en-US"/>
        </w:rPr>
        <w:t xml:space="preserve"> NUSSBAUM</w:t>
      </w:r>
      <w:r>
        <w:rPr>
          <w:rFonts w:ascii="Times New Roman" w:hAnsi="Times New Roman" w:cs="Times New Roman"/>
          <w:sz w:val="18"/>
          <w:szCs w:val="18"/>
          <w:lang w:val="en-US"/>
        </w:rPr>
        <w:t xml:space="preserve">, Martha (2010): </w:t>
      </w:r>
      <w:r w:rsidRPr="004731E2">
        <w:rPr>
          <w:rFonts w:ascii="Times New Roman" w:hAnsi="Times New Roman" w:cs="Times New Roman"/>
          <w:sz w:val="18"/>
          <w:szCs w:val="18"/>
          <w:lang w:val="en-US"/>
        </w:rPr>
        <w:t>Not for Profit, Why Democracy Needs the Humanities, Princeton University Press, pp.18.</w:t>
      </w:r>
    </w:p>
  </w:footnote>
  <w:footnote w:id="29">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CONSTITUCIÓN POLÍTICA DE COLOMBIA DE 1991. Articulo 67.</w:t>
      </w:r>
    </w:p>
  </w:footnote>
  <w:footnote w:id="30">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CORTE CONSTITUCIONAL Sentencia T-491 DE 2003. MP Clara Inés Vargas. </w:t>
      </w:r>
    </w:p>
  </w:footnote>
  <w:footnote w:id="31">
    <w:p w:rsidR="00DE7322" w:rsidRPr="004731E2" w:rsidRDefault="00DE7322" w:rsidP="004731E2">
      <w:pPr>
        <w:jc w:val="both"/>
        <w:rPr>
          <w:rFonts w:ascii="Times New Roman" w:eastAsia="Times New Roman" w:hAnsi="Times New Roman" w:cs="Times New Roman"/>
          <w:sz w:val="18"/>
          <w:szCs w:val="18"/>
          <w:lang w:eastAsia="es-ES"/>
        </w:rPr>
      </w:pPr>
      <w:r w:rsidRPr="004731E2">
        <w:rPr>
          <w:rStyle w:val="Refdenotaalpie"/>
          <w:rFonts w:ascii="Times New Roman" w:hAnsi="Times New Roman" w:cs="Times New Roman"/>
          <w:sz w:val="18"/>
          <w:szCs w:val="18"/>
        </w:rPr>
        <w:footnoteRef/>
      </w:r>
      <w:r w:rsidRPr="004731E2">
        <w:rPr>
          <w:rFonts w:ascii="Times New Roman" w:eastAsia="Times New Roman" w:hAnsi="Times New Roman" w:cs="Times New Roman"/>
          <w:sz w:val="18"/>
          <w:szCs w:val="18"/>
          <w:lang w:eastAsia="es-ES"/>
        </w:rPr>
        <w:t xml:space="preserve"> </w:t>
      </w:r>
      <w:r w:rsidRPr="004731E2">
        <w:rPr>
          <w:rFonts w:ascii="Times New Roman" w:hAnsi="Times New Roman" w:cs="Times New Roman"/>
          <w:sz w:val="18"/>
          <w:szCs w:val="18"/>
        </w:rPr>
        <w:t>Posteriormente la Corte Constitucional amplió el derecho fundamental a la educación pública, básica, obligatoria y gratuita hasta los 18 años. Al respecto véase: Corte Constitucional, Sentencias T-323 de 1994 y T-534 de 1997.</w:t>
      </w:r>
    </w:p>
  </w:footnote>
  <w:footnote w:id="32">
    <w:p w:rsidR="00DE7322" w:rsidRPr="004731E2" w:rsidRDefault="00DE7322" w:rsidP="004731E2">
      <w:pPr>
        <w:jc w:val="both"/>
        <w:rPr>
          <w:rFonts w:ascii="Times New Roman" w:eastAsia="Times New Roman" w:hAnsi="Times New Roman" w:cs="Times New Roman"/>
          <w:sz w:val="18"/>
          <w:szCs w:val="18"/>
          <w:lang w:eastAsia="es-ES"/>
        </w:rPr>
      </w:pPr>
      <w:r w:rsidRPr="004731E2">
        <w:rPr>
          <w:rStyle w:val="Refdenotaalpie"/>
          <w:rFonts w:ascii="Times New Roman" w:hAnsi="Times New Roman" w:cs="Times New Roman"/>
          <w:sz w:val="18"/>
          <w:szCs w:val="18"/>
        </w:rPr>
        <w:footnoteRef/>
      </w:r>
      <w:r w:rsidRPr="004731E2">
        <w:rPr>
          <w:rFonts w:ascii="Times New Roman" w:eastAsia="Times New Roman" w:hAnsi="Times New Roman" w:cs="Times New Roman"/>
          <w:sz w:val="18"/>
          <w:szCs w:val="18"/>
          <w:lang w:eastAsia="es-ES"/>
        </w:rPr>
        <w:t xml:space="preserve"> La posibilidad del cobro de derechos académicos a quienes puedan sufragarlos exonera a la educación básica primaria que inequívocamente debe ser gratuita. Así lo ratifica la Sentencia C-376 de 2010 de la Corte Constitucional. </w:t>
      </w:r>
    </w:p>
  </w:footnote>
  <w:footnote w:id="33">
    <w:p w:rsidR="00DE7322" w:rsidRPr="004731E2" w:rsidRDefault="00DE7322" w:rsidP="004731E2">
      <w:pPr>
        <w:pStyle w:val="Textonotapie"/>
        <w:rPr>
          <w:sz w:val="18"/>
          <w:szCs w:val="18"/>
        </w:rPr>
      </w:pPr>
      <w:r w:rsidRPr="004731E2">
        <w:rPr>
          <w:rStyle w:val="Refdenotaalpie"/>
          <w:sz w:val="18"/>
          <w:szCs w:val="18"/>
        </w:rPr>
        <w:footnoteRef/>
      </w:r>
      <w:r w:rsidRPr="004731E2">
        <w:rPr>
          <w:sz w:val="18"/>
          <w:szCs w:val="18"/>
        </w:rPr>
        <w:t xml:space="preserve"> Inicialmente fue desarrollada por la ley 60 de 1993, posteriormente derogada por la ley 715 de 2001.</w:t>
      </w:r>
    </w:p>
  </w:footnote>
  <w:footnote w:id="34">
    <w:p w:rsidR="00DE7322" w:rsidRPr="004731E2" w:rsidRDefault="00DE7322" w:rsidP="00DB1BCC">
      <w:pPr>
        <w:autoSpaceDE w:val="0"/>
        <w:autoSpaceDN w:val="0"/>
        <w:adjustRightInd w:val="0"/>
        <w:jc w:val="both"/>
        <w:rPr>
          <w:rFonts w:ascii="Times New Roman" w:hAnsi="Times New Roman" w:cs="Times New Roman"/>
          <w:i/>
          <w:iCs/>
          <w:sz w:val="18"/>
          <w:szCs w:val="18"/>
          <w:lang w:eastAsia="es-E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MINISTERIO DE EDUCACIÓN NACIONAL (2001): Informe Nacional sobre el Desarrollo de la Educación en Colombia.</w:t>
      </w:r>
      <w:r w:rsidRPr="004731E2">
        <w:rPr>
          <w:rFonts w:ascii="Times New Roman" w:hAnsi="Times New Roman" w:cs="Times New Roman"/>
          <w:i/>
          <w:iCs/>
          <w:sz w:val="18"/>
          <w:szCs w:val="18"/>
          <w:lang w:eastAsia="es-ES"/>
        </w:rPr>
        <w:t xml:space="preserve"> 46ª. </w:t>
      </w:r>
      <w:r w:rsidRPr="004731E2">
        <w:rPr>
          <w:rFonts w:ascii="Times New Roman" w:hAnsi="Times New Roman" w:cs="Times New Roman"/>
          <w:iCs/>
          <w:sz w:val="18"/>
          <w:szCs w:val="18"/>
          <w:lang w:eastAsia="es-ES"/>
        </w:rPr>
        <w:t>Conferencia internacional de educación (CIE). Ginebra Suiza, septiembre 5 al 7 de 2001.</w:t>
      </w:r>
    </w:p>
  </w:footnote>
  <w:footnote w:id="35">
    <w:p w:rsidR="00DE7322" w:rsidRPr="004731E2" w:rsidRDefault="00DE7322" w:rsidP="004731E2">
      <w:pPr>
        <w:pStyle w:val="NormalWeb"/>
        <w:spacing w:before="0" w:beforeAutospacing="0" w:after="0" w:afterAutospacing="0"/>
        <w:jc w:val="both"/>
        <w:rPr>
          <w:sz w:val="18"/>
          <w:szCs w:val="18"/>
        </w:rPr>
      </w:pPr>
      <w:r w:rsidRPr="004731E2">
        <w:rPr>
          <w:rStyle w:val="Refdenotaalpie"/>
          <w:sz w:val="18"/>
          <w:szCs w:val="18"/>
        </w:rPr>
        <w:footnoteRef/>
      </w:r>
      <w:r w:rsidRPr="004731E2">
        <w:rPr>
          <w:sz w:val="18"/>
          <w:szCs w:val="18"/>
          <w:lang w:eastAsia="es-ES"/>
        </w:rPr>
        <w:t xml:space="preserve">  Inicialmente en la ley 115 de 1994 se denominaba educación no formal pero </w:t>
      </w:r>
      <w:r w:rsidRPr="004731E2">
        <w:rPr>
          <w:bCs/>
          <w:sz w:val="18"/>
          <w:szCs w:val="18"/>
        </w:rPr>
        <w:t>fue reemplazada por educación para el Trabajo y el Desarrollo Humano, por el Art. 1 de la Ley</w:t>
      </w:r>
      <w:r w:rsidRPr="004731E2">
        <w:rPr>
          <w:rFonts w:eastAsiaTheme="majorEastAsia"/>
          <w:sz w:val="18"/>
          <w:szCs w:val="18"/>
        </w:rPr>
        <w:t> </w:t>
      </w:r>
      <w:hyperlink r:id="rId4" w:anchor="0" w:history="1">
        <w:r w:rsidRPr="004731E2">
          <w:rPr>
            <w:sz w:val="18"/>
            <w:szCs w:val="18"/>
          </w:rPr>
          <w:t>1064 de 2006</w:t>
        </w:r>
      </w:hyperlink>
      <w:r w:rsidRPr="004731E2">
        <w:rPr>
          <w:sz w:val="18"/>
          <w:szCs w:val="18"/>
        </w:rPr>
        <w:t>.</w:t>
      </w:r>
      <w:r w:rsidRPr="004731E2">
        <w:rPr>
          <w:sz w:val="18"/>
          <w:szCs w:val="18"/>
          <w:lang w:eastAsia="es-ES"/>
        </w:rPr>
        <w:t xml:space="preserve"> </w:t>
      </w:r>
    </w:p>
  </w:footnote>
  <w:footnote w:id="36">
    <w:p w:rsidR="00DE7322" w:rsidRPr="004731E2" w:rsidRDefault="00DE7322" w:rsidP="004731E2">
      <w:pPr>
        <w:pStyle w:val="NormalWeb"/>
        <w:spacing w:before="0" w:beforeAutospacing="0" w:after="0" w:afterAutospacing="0"/>
        <w:jc w:val="both"/>
        <w:rPr>
          <w:sz w:val="18"/>
          <w:szCs w:val="18"/>
        </w:rPr>
      </w:pPr>
      <w:r w:rsidRPr="004731E2">
        <w:rPr>
          <w:rStyle w:val="Refdenotaalpie"/>
          <w:sz w:val="18"/>
          <w:szCs w:val="18"/>
        </w:rPr>
        <w:footnoteRef/>
      </w:r>
      <w:r w:rsidRPr="004731E2">
        <w:rPr>
          <w:sz w:val="18"/>
          <w:szCs w:val="18"/>
          <w:lang w:eastAsia="es-ES"/>
        </w:rPr>
        <w:t xml:space="preserve"> </w:t>
      </w:r>
      <w:r w:rsidRPr="004731E2">
        <w:rPr>
          <w:sz w:val="18"/>
          <w:szCs w:val="18"/>
        </w:rPr>
        <w:t>LEY GENERAL DE EDUCACIÓN</w:t>
      </w:r>
      <w:r w:rsidRPr="004731E2">
        <w:rPr>
          <w:sz w:val="18"/>
          <w:szCs w:val="18"/>
          <w:lang w:eastAsia="es-ES"/>
        </w:rPr>
        <w:t xml:space="preserve"> </w:t>
      </w:r>
      <w:r w:rsidRPr="004731E2">
        <w:rPr>
          <w:sz w:val="18"/>
          <w:szCs w:val="18"/>
        </w:rPr>
        <w:t xml:space="preserve">Ley 115 de 1994. </w:t>
      </w:r>
      <w:r w:rsidRPr="004731E2">
        <w:rPr>
          <w:bCs/>
          <w:sz w:val="18"/>
          <w:szCs w:val="18"/>
        </w:rPr>
        <w:t>Artículo 10</w:t>
      </w:r>
      <w:r w:rsidRPr="004731E2">
        <w:rPr>
          <w:sz w:val="18"/>
          <w:szCs w:val="18"/>
        </w:rPr>
        <w:t>.</w:t>
      </w:r>
      <w:r w:rsidRPr="004731E2">
        <w:rPr>
          <w:sz w:val="18"/>
          <w:szCs w:val="18"/>
          <w:lang w:eastAsia="es-ES"/>
        </w:rPr>
        <w:t xml:space="preserve"> </w:t>
      </w:r>
    </w:p>
  </w:footnote>
  <w:footnote w:id="37">
    <w:p w:rsidR="00DE7322" w:rsidRPr="004731E2" w:rsidRDefault="00DE7322" w:rsidP="004731E2">
      <w:pPr>
        <w:pStyle w:val="NormalWeb"/>
        <w:spacing w:before="0" w:beforeAutospacing="0" w:after="0" w:afterAutospacing="0"/>
        <w:jc w:val="both"/>
        <w:rPr>
          <w:sz w:val="18"/>
          <w:szCs w:val="18"/>
        </w:rPr>
      </w:pPr>
      <w:r w:rsidRPr="004731E2">
        <w:rPr>
          <w:rStyle w:val="Refdenotaalpie"/>
          <w:sz w:val="18"/>
          <w:szCs w:val="18"/>
        </w:rPr>
        <w:footnoteRef/>
      </w:r>
      <w:r w:rsidRPr="004731E2">
        <w:rPr>
          <w:sz w:val="18"/>
          <w:szCs w:val="18"/>
        </w:rPr>
        <w:t xml:space="preserve"> LEY GENERAL DE EDUCACIÓN</w:t>
      </w:r>
      <w:r w:rsidRPr="004731E2">
        <w:rPr>
          <w:sz w:val="18"/>
          <w:szCs w:val="18"/>
          <w:lang w:eastAsia="es-ES"/>
        </w:rPr>
        <w:t xml:space="preserve"> </w:t>
      </w:r>
      <w:r w:rsidRPr="004731E2">
        <w:rPr>
          <w:sz w:val="18"/>
          <w:szCs w:val="18"/>
        </w:rPr>
        <w:t xml:space="preserve">Ley 115 de 1994. </w:t>
      </w:r>
      <w:r w:rsidRPr="004731E2">
        <w:rPr>
          <w:bCs/>
          <w:sz w:val="18"/>
          <w:szCs w:val="18"/>
        </w:rPr>
        <w:t>Artículo 13</w:t>
      </w:r>
      <w:r w:rsidRPr="004731E2">
        <w:rPr>
          <w:sz w:val="18"/>
          <w:szCs w:val="18"/>
        </w:rPr>
        <w:t>.</w:t>
      </w:r>
      <w:r w:rsidRPr="004731E2">
        <w:rPr>
          <w:sz w:val="18"/>
          <w:szCs w:val="18"/>
          <w:lang w:eastAsia="es-ES"/>
        </w:rPr>
        <w:t xml:space="preserve"> </w:t>
      </w:r>
    </w:p>
  </w:footnote>
  <w:footnote w:id="38">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LEY GENERAL DE EDUCACIÓN. Ley 115 de 1994. Artículo 26.</w:t>
      </w:r>
    </w:p>
  </w:footnote>
  <w:footnote w:id="39">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MINISTERIO DE EDUCACIÓN, Centro Virtual de Noticias. </w:t>
      </w:r>
      <w:r w:rsidRPr="004731E2">
        <w:rPr>
          <w:rFonts w:ascii="Times New Roman" w:eastAsia="Times New Roman" w:hAnsi="Times New Roman" w:cs="Times New Roman"/>
          <w:bCs/>
          <w:sz w:val="18"/>
          <w:szCs w:val="18"/>
          <w:lang w:eastAsia="es-ES"/>
        </w:rPr>
        <w:t>Balance del Plan Decenal de Educación 1996 – 2005.</w:t>
      </w:r>
    </w:p>
  </w:footnote>
  <w:footnote w:id="40">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La Sentencia T-025 de 2004 de la Corte Constitucional establece que, dada la magnitud del desplazamiento en comparación con la atención dada, existe un “estado de cosas inconstitucional” que el Estado debe atender en forma prioritaria, garantizando el acceso pleno de derechos hasta que </w:t>
      </w:r>
      <w:r w:rsidRPr="004731E2">
        <w:rPr>
          <w:rFonts w:ascii="Times New Roman" w:hAnsi="Times New Roman" w:cs="Times New Roman"/>
          <w:iCs/>
          <w:sz w:val="18"/>
          <w:szCs w:val="18"/>
        </w:rPr>
        <w:t>esté completamente restablecido el derecho o eliminadas las causas de la amenaza</w:t>
      </w:r>
      <w:r w:rsidRPr="004731E2">
        <w:rPr>
          <w:rFonts w:ascii="Times New Roman" w:hAnsi="Times New Roman" w:cs="Times New Roman"/>
          <w:sz w:val="18"/>
          <w:szCs w:val="18"/>
        </w:rPr>
        <w:t xml:space="preserve">. </w:t>
      </w:r>
    </w:p>
  </w:footnote>
  <w:footnote w:id="41">
    <w:p w:rsidR="00DE7322" w:rsidRPr="004731E2" w:rsidRDefault="00DE7322" w:rsidP="004731E2">
      <w:pPr>
        <w:jc w:val="both"/>
        <w:rPr>
          <w:rFonts w:ascii="Times New Roman" w:eastAsia="Times New Roman" w:hAnsi="Times New Roman" w:cs="Times New Roman"/>
          <w:color w:val="000000"/>
          <w:sz w:val="18"/>
          <w:szCs w:val="18"/>
          <w:lang w:eastAsia="es-CO"/>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bookmarkStart w:id="10" w:name="9"/>
      <w:r w:rsidRPr="004731E2">
        <w:rPr>
          <w:rFonts w:ascii="Times New Roman" w:hAnsi="Times New Roman" w:cs="Times New Roman"/>
          <w:sz w:val="18"/>
          <w:szCs w:val="18"/>
        </w:rPr>
        <w:t xml:space="preserve">Ley 715 de 2001, </w:t>
      </w:r>
      <w:r w:rsidRPr="004731E2">
        <w:rPr>
          <w:rFonts w:ascii="Times New Roman" w:eastAsia="Times New Roman" w:hAnsi="Times New Roman" w:cs="Times New Roman"/>
          <w:sz w:val="18"/>
          <w:szCs w:val="18"/>
          <w:lang w:eastAsia="es-CO"/>
        </w:rPr>
        <w:t xml:space="preserve">ARTÍCULO 9o. </w:t>
      </w:r>
      <w:bookmarkEnd w:id="10"/>
      <w:r w:rsidRPr="004731E2">
        <w:rPr>
          <w:rFonts w:ascii="Times New Roman" w:eastAsia="Times New Roman" w:hAnsi="Times New Roman" w:cs="Times New Roman"/>
          <w:iCs/>
          <w:sz w:val="18"/>
          <w:szCs w:val="18"/>
          <w:lang w:eastAsia="es-CO"/>
        </w:rPr>
        <w:t>INSTITUCIONES EDUCATIVAS.</w:t>
      </w:r>
      <w:r w:rsidRPr="004731E2">
        <w:rPr>
          <w:rFonts w:ascii="Times New Roman" w:eastAsia="Times New Roman" w:hAnsi="Times New Roman" w:cs="Times New Roman"/>
          <w:sz w:val="18"/>
          <w:szCs w:val="18"/>
          <w:lang w:eastAsia="es-CO"/>
        </w:rPr>
        <w:t xml:space="preserve"> Institución educativa es un conjunto de personas</w:t>
      </w:r>
      <w:r w:rsidRPr="004731E2">
        <w:rPr>
          <w:rFonts w:ascii="Times New Roman" w:eastAsia="Times New Roman" w:hAnsi="Times New Roman" w:cs="Times New Roman"/>
          <w:color w:val="000000"/>
          <w:sz w:val="18"/>
          <w:szCs w:val="18"/>
          <w:lang w:eastAsia="es-CO"/>
        </w:rPr>
        <w:t xml:space="preserve"> y bienes promovida por las autoridades públicas o por particulares, cuya finalidad será prestar un año de educación preescolar y nueve grados de educación básica como mínimo, y la media. Las que no ofrecen la totalidad de dichos grados se denominarán centros educativos y deberán asociarse con otras instituciones con el fin de ofrecer el ciclo de educación básica completa a los estudiantes. Deberán contar con licencia de funcionamiento o reconocimiento de carácter oficial, disponer de la infraestructura administrativa, soportes pedagógicos, planta física y medios educativos adecuados. Las instituciones educativas combinarán los recursos para brindar una educación de calidad, la evaluación permanente, el mejoramiento continuo del servicio educativo y los resultados del aprendizaje, en el marco de su Programa Educativo Institucional.  Las instituciones educativas estatales son departamentales, distritales o municipales.</w:t>
      </w:r>
    </w:p>
  </w:footnote>
  <w:footnote w:id="42">
    <w:p w:rsidR="00DE7322" w:rsidRPr="004731E2" w:rsidRDefault="00DE7322" w:rsidP="004731E2">
      <w:pPr>
        <w:autoSpaceDE w:val="0"/>
        <w:autoSpaceDN w:val="0"/>
        <w:adjustRightInd w:val="0"/>
        <w:jc w:val="both"/>
        <w:rPr>
          <w:rFonts w:ascii="Times New Roman" w:hAnsi="Times New Roman" w:cs="Times New Roman"/>
          <w:i/>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EDUCACIÓN COMPROMISO DE TODOS, (2010): </w:t>
      </w:r>
      <w:r w:rsidRPr="004731E2">
        <w:rPr>
          <w:rFonts w:ascii="Times New Roman" w:hAnsi="Times New Roman" w:cs="Times New Roman"/>
          <w:bCs/>
          <w:i/>
          <w:sz w:val="18"/>
          <w:szCs w:val="18"/>
          <w:lang w:eastAsia="es-ES"/>
        </w:rPr>
        <w:t>Una mirada a las cifras de la educación en Colombia 2002-2009</w:t>
      </w:r>
      <w:r w:rsidRPr="004731E2">
        <w:rPr>
          <w:rFonts w:ascii="Times New Roman" w:hAnsi="Times New Roman" w:cs="Times New Roman"/>
          <w:i/>
          <w:sz w:val="18"/>
          <w:szCs w:val="18"/>
        </w:rPr>
        <w:t xml:space="preserve">. </w:t>
      </w:r>
      <w:r w:rsidRPr="004731E2">
        <w:rPr>
          <w:rFonts w:ascii="Times New Roman" w:hAnsi="Times New Roman" w:cs="Times New Roman"/>
          <w:sz w:val="18"/>
          <w:szCs w:val="18"/>
          <w:lang w:eastAsia="es-ES"/>
        </w:rPr>
        <w:t xml:space="preserve">Offset Gráfico Editores S. A. Bogotá. Pág. 9. </w:t>
      </w:r>
      <w:r w:rsidRPr="004731E2">
        <w:rPr>
          <w:rFonts w:ascii="Times New Roman" w:hAnsi="Times New Roman" w:cs="Times New Roman"/>
          <w:sz w:val="18"/>
          <w:szCs w:val="18"/>
          <w:lang w:eastAsia="es-ES"/>
        </w:rPr>
        <w:tab/>
        <w:t>Los cálculos específicos de la distribución se definen mediante documentos CONPES.</w:t>
      </w:r>
    </w:p>
  </w:footnote>
  <w:footnote w:id="43">
    <w:p w:rsidR="00DE7322" w:rsidRPr="004731E2" w:rsidRDefault="00DE7322" w:rsidP="0050207E">
      <w:pPr>
        <w:pStyle w:val="NormalWeb"/>
        <w:spacing w:before="0" w:beforeAutospacing="0" w:after="0" w:afterAutospacing="0"/>
        <w:jc w:val="both"/>
        <w:rPr>
          <w:sz w:val="18"/>
          <w:szCs w:val="18"/>
        </w:rPr>
      </w:pPr>
      <w:r w:rsidRPr="004731E2">
        <w:rPr>
          <w:rStyle w:val="Refdenotaalpie"/>
          <w:sz w:val="18"/>
          <w:szCs w:val="18"/>
        </w:rPr>
        <w:footnoteRef/>
      </w:r>
      <w:r w:rsidRPr="004731E2">
        <w:rPr>
          <w:sz w:val="18"/>
          <w:szCs w:val="18"/>
        </w:rPr>
        <w:t xml:space="preserve">  La conformación específica es la siguiente: a. El (la) Secretario (a) de Educación del Distrito o su delegado, quien lo presidirá. b. El (la) Secretario (a) Distrital de Cultura, Recreación y Deporte o su delegado. c. El (a) Secretario (a) Distrital de Salud o su delegado. d. El (la) Director (a) del Instituto Distrital para la Recreación y el Deporte o su delegado. e. El (la) Secretario (a) Distrital de Integración Social o su delegado. f. El (la) Director (a) del Instituto para la Investigación Educativa y el Desarrollo Pedagógico - IDEP o su delegado. g. El (la) Director(a) General del Instituto Distrital de la Participación y Acción Comunal o su delegado. h. El (la) Gerente (a) del Canal Capital o su delegado. i. El (la) Rector (a) de la Universidad Distrital Francisco José de Caldas o su delegado. j. Dos representantes de los Alcaldes (as) Locales designados por ellos mismos. k. Dos delegados por cada una de las Mesas Distritales de Política Educativa. l. Un delegado por cada uno de los Consejos Consultivos Locales.</w:t>
      </w:r>
    </w:p>
  </w:footnote>
  <w:footnote w:id="44">
    <w:p w:rsidR="00DE7322" w:rsidRPr="004731E2" w:rsidRDefault="00DE7322" w:rsidP="00252646">
      <w:pPr>
        <w:pStyle w:val="Textonotapie"/>
        <w:jc w:val="both"/>
        <w:rPr>
          <w:sz w:val="18"/>
          <w:szCs w:val="18"/>
        </w:rPr>
      </w:pPr>
      <w:r w:rsidRPr="004731E2">
        <w:rPr>
          <w:rStyle w:val="Refdenotaalpie"/>
          <w:sz w:val="18"/>
          <w:szCs w:val="18"/>
        </w:rPr>
        <w:footnoteRef/>
      </w:r>
      <w:r>
        <w:rPr>
          <w:sz w:val="18"/>
          <w:szCs w:val="18"/>
        </w:rPr>
        <w:t xml:space="preserve"> </w:t>
      </w:r>
      <w:r w:rsidRPr="004731E2">
        <w:rPr>
          <w:sz w:val="18"/>
          <w:szCs w:val="18"/>
        </w:rPr>
        <w:t>Sin embargo, estos estudios no son suficientemente concluyentes sobre el peso de cada uno de estos factores y en muchos casos su operacionalización y medición es complicada. Ver “La calidad de la educación en Colombia: un análisis y algunas opciones para un programa de política”, Unidad de Gestión del Sector de Desarrollo Humano Oficina Regional de América Latina y el Caribe, Febrero de 2009, Documento del Banco Mundial</w:t>
      </w:r>
      <w:r>
        <w:rPr>
          <w:sz w:val="18"/>
          <w:szCs w:val="18"/>
        </w:rPr>
        <w:t>.</w:t>
      </w:r>
    </w:p>
  </w:footnote>
  <w:footnote w:id="45">
    <w:p w:rsidR="00DE7322" w:rsidRPr="004731E2" w:rsidRDefault="00DE7322" w:rsidP="004731E2">
      <w:pPr>
        <w:pStyle w:val="Textonotapie"/>
        <w:rPr>
          <w:sz w:val="18"/>
          <w:szCs w:val="18"/>
        </w:rPr>
      </w:pPr>
      <w:r w:rsidRPr="004731E2">
        <w:rPr>
          <w:rStyle w:val="Refdenotaalpie"/>
          <w:sz w:val="18"/>
          <w:szCs w:val="18"/>
        </w:rPr>
        <w:footnoteRef/>
      </w:r>
      <w:r w:rsidRPr="004731E2">
        <w:rPr>
          <w:sz w:val="18"/>
          <w:szCs w:val="18"/>
        </w:rPr>
        <w:t xml:space="preserve">  La educación de la población depende también de otros factores diferentes al sistema educativo formal.</w:t>
      </w:r>
    </w:p>
  </w:footnote>
  <w:footnote w:id="46">
    <w:p w:rsidR="00DE7322" w:rsidRPr="004731E2" w:rsidRDefault="00DE7322" w:rsidP="004731E2">
      <w:pPr>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Población alfabetizada: aunque la tasa de alfabetismo es elevada (98,4%) en Bogotá y aumentó ligeramente en comparación con 2007 (98,2%), todavía en el año 2011 había 91.793 personas  (de las cuales 57.674 eran mujeres) mayores de 15 años que no sabían leer ni escribir. Cinco localidades tienen una tasa de analfabetismo muy superior al promedio de la ciudad: Usme, Ciudad Bolívar, San Cristóbal, Santa Fe y La Candelaria y en los estratos pobres es mucho mayor, de 3,6% en el estrato 1 y 2,3% en el estrato 2, mientras que los estratos 5 y 6 apenas tienen 0,2%.</w:t>
      </w:r>
    </w:p>
  </w:footnote>
  <w:footnote w:id="47">
    <w:p w:rsidR="00DE7322" w:rsidRPr="004731E2" w:rsidRDefault="00DE7322" w:rsidP="004731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color w:val="000000"/>
          <w:sz w:val="18"/>
          <w:szCs w:val="18"/>
          <w:lang w:eastAsia="en-US"/>
        </w:rPr>
      </w:pPr>
      <w:r w:rsidRPr="004731E2">
        <w:rPr>
          <w:rStyle w:val="Refdenotaalpie"/>
          <w:rFonts w:ascii="Times New Roman" w:hAnsi="Times New Roman" w:cs="Times New Roman"/>
          <w:sz w:val="18"/>
          <w:szCs w:val="18"/>
        </w:rPr>
        <w:footnoteRef/>
      </w:r>
      <w:r w:rsidRPr="00CF673F">
        <w:rPr>
          <w:rFonts w:ascii="Times New Roman" w:hAnsi="Times New Roman" w:cs="Times New Roman"/>
          <w:sz w:val="18"/>
          <w:szCs w:val="18"/>
          <w:lang w:val="en-US"/>
        </w:rPr>
        <w:t xml:space="preserve"> </w:t>
      </w:r>
      <w:r w:rsidRPr="00CF673F">
        <w:rPr>
          <w:rFonts w:ascii="Times New Roman" w:eastAsia="Times New Roman" w:hAnsi="Times New Roman" w:cs="Times New Roman"/>
          <w:iCs/>
          <w:sz w:val="18"/>
          <w:szCs w:val="18"/>
          <w:lang w:val="en-US"/>
        </w:rPr>
        <w:t>Program for International Student Assessment</w:t>
      </w:r>
      <w:r w:rsidRPr="00CF673F">
        <w:rPr>
          <w:rFonts w:ascii="Times New Roman" w:hAnsi="Times New Roman" w:cs="Times New Roman"/>
          <w:iCs/>
          <w:sz w:val="18"/>
          <w:szCs w:val="18"/>
          <w:lang w:val="en-US"/>
        </w:rPr>
        <w:t xml:space="preserve">. </w:t>
      </w:r>
      <w:r w:rsidRPr="004731E2">
        <w:rPr>
          <w:rFonts w:ascii="Times New Roman" w:eastAsiaTheme="minorHAnsi" w:hAnsi="Times New Roman" w:cs="Times New Roman"/>
          <w:color w:val="000000"/>
          <w:sz w:val="18"/>
          <w:szCs w:val="18"/>
          <w:lang w:eastAsia="en-US"/>
        </w:rPr>
        <w:t>El Programa Internacional de Evaluación de Estudiantes, (PISA, por su sigla en inglés) es un estudio internacional comparativo de evaluación educativa liderado por la Organización para la Cooperación y el Desarrollo Económico (OCDE), que se realiza en ciclos trianuales en los que se evalúan estudiantes de 15 años, matriculados en los grados 7o a 11o. Se evalúan competencias en lectura, matemáticas y ciencias. El objetivo de esta prueba es determinar en qué medida los estudiantes de 15 años, independiente del grado que estén cursando, han adquirido los conocimientos y las competencias esenciales para afrontar los retos de la vida adulta en la sociedad. Se combina la evaluación de aspectos cognoscitivos de campos específicos como la lectura, las matemáticas y las ciencias y de campos generales como la competencia para resolver problemas y la alfabetización financiera.</w:t>
      </w:r>
    </w:p>
  </w:footnote>
  <w:footnote w:id="48">
    <w:p w:rsidR="00DE7322" w:rsidRPr="004731E2" w:rsidRDefault="00DE7322" w:rsidP="004731E2">
      <w:pPr>
        <w:autoSpaceDE w:val="0"/>
        <w:autoSpaceDN w:val="0"/>
        <w:adjustRightInd w:val="0"/>
        <w:jc w:val="both"/>
        <w:rPr>
          <w:rFonts w:ascii="Times New Roman" w:hAnsi="Times New Roman" w:cs="Times New Roman"/>
          <w:sz w:val="18"/>
          <w:szCs w:val="18"/>
          <w:lang w:eastAsia="es-E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Al respecto véase: COLPRENSA (23 de febrero de 2011): </w:t>
      </w:r>
      <w:r w:rsidRPr="004731E2">
        <w:rPr>
          <w:rFonts w:ascii="Times New Roman" w:eastAsia="Times New Roman" w:hAnsi="Times New Roman" w:cs="Times New Roman"/>
          <w:color w:val="494949"/>
          <w:kern w:val="36"/>
          <w:sz w:val="18"/>
          <w:szCs w:val="18"/>
          <w:lang w:val="es-ES" w:eastAsia="es-CO"/>
        </w:rPr>
        <w:t>Estudiantes Colombianos se rajan en pruebas Pisa</w:t>
      </w:r>
      <w:r w:rsidRPr="004731E2">
        <w:rPr>
          <w:rFonts w:ascii="Times New Roman" w:hAnsi="Times New Roman" w:cs="Times New Roman"/>
          <w:sz w:val="18"/>
          <w:szCs w:val="18"/>
        </w:rPr>
        <w:t xml:space="preserve">. Columna en El Espectador. </w:t>
      </w:r>
      <w:r w:rsidRPr="004731E2">
        <w:rPr>
          <w:rFonts w:ascii="Times New Roman" w:hAnsi="Times New Roman" w:cs="Times New Roman"/>
          <w:sz w:val="18"/>
          <w:szCs w:val="18"/>
          <w:lang w:val="es-ES"/>
        </w:rPr>
        <w:t xml:space="preserve">En: </w:t>
      </w:r>
      <w:hyperlink r:id="rId5" w:history="1">
        <w:r w:rsidRPr="004731E2">
          <w:rPr>
            <w:rStyle w:val="Hipervnculo"/>
            <w:rFonts w:ascii="Times New Roman" w:hAnsi="Times New Roman" w:cs="Times New Roman"/>
            <w:color w:val="auto"/>
            <w:sz w:val="18"/>
            <w:szCs w:val="18"/>
          </w:rPr>
          <w:t>http://www.eluniversal.com.co/cartagena/educacion/estudiantes-colombianos-se-rajan-en-pruebas-pisa-10933</w:t>
        </w:r>
      </w:hyperlink>
      <w:r w:rsidRPr="004731E2">
        <w:rPr>
          <w:rFonts w:ascii="Times New Roman" w:hAnsi="Times New Roman" w:cs="Times New Roman"/>
          <w:sz w:val="18"/>
          <w:szCs w:val="18"/>
        </w:rPr>
        <w:t xml:space="preserve"> </w:t>
      </w:r>
    </w:p>
  </w:footnote>
  <w:footnote w:id="49">
    <w:p w:rsidR="00DE7322" w:rsidRPr="004731E2" w:rsidRDefault="00DE7322" w:rsidP="004731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color w:val="000000"/>
          <w:sz w:val="18"/>
          <w:szCs w:val="18"/>
          <w:lang w:eastAsia="en-U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eastAsiaTheme="minorHAnsi" w:hAnsi="Times New Roman" w:cs="Times New Roman"/>
          <w:color w:val="000000"/>
          <w:sz w:val="18"/>
          <w:szCs w:val="18"/>
          <w:lang w:eastAsia="en-US"/>
        </w:rPr>
        <w:t>Esta prueba, llamada antes prueba de Estado para ingreso a la educación superior, se realiza todos los años de acuerdo con los dos calendarios escolares del país (A y B). Es diseñada y propuesta por el Instituto Colombiano para la Evaluación de la Educación (ICFES). Deben presentarla todos los estudiantes que cursan grado once de educación media (ciclo 5) de todo el territorio nacional y tiene como propósito evidenciar el grado de desarrollo de las competencias en las áreas fundamentales e interdisciplinarias de todos los estudiantes colombianos del último grado de educación media. La prueba evalúa dos componentes fundamentales: un núcleo común que corresponde a las áreas de lenguaje, matemáticas, ciencias naturales (biología, química y física), ciencias sociales, filosofía e inglés; un componente flexible en el que los estudiantes pueden optar por una prueba para profundizar en las áreas de biología, ciencias sociales, matemáticas y lenguaje y una prueba interdisciplinar en la que pueden seleccionar violencia y sociedad o medio ambiente.</w:t>
      </w:r>
    </w:p>
  </w:footnote>
  <w:footnote w:id="50">
    <w:p w:rsidR="00DE7322" w:rsidRPr="004731E2" w:rsidRDefault="00DE7322" w:rsidP="004731E2">
      <w:pPr>
        <w:pStyle w:val="Default"/>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Fuente: Instituto Colombiano para la Evaluación de la Educación (ICFES). Procesamiento: Dirección de Evaluación de la Educación. SED. Bogotá 2012.</w:t>
      </w:r>
    </w:p>
  </w:footnote>
  <w:footnote w:id="51">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w:t>
      </w:r>
      <w:r w:rsidRPr="004731E2">
        <w:rPr>
          <w:rFonts w:eastAsiaTheme="minorHAnsi"/>
          <w:color w:val="000000"/>
          <w:sz w:val="18"/>
          <w:szCs w:val="18"/>
          <w:lang w:eastAsia="en-US"/>
        </w:rPr>
        <w:t xml:space="preserve">Lo ideal sería que no se encontraran estudiantes en los rangos inferiores y que ojalá todos pudieran superar los 70 puntos”, </w:t>
      </w:r>
      <w:r>
        <w:rPr>
          <w:rFonts w:eastAsiaTheme="minorHAnsi"/>
          <w:color w:val="000000"/>
          <w:sz w:val="18"/>
          <w:szCs w:val="18"/>
          <w:lang w:eastAsia="en-US"/>
        </w:rPr>
        <w:t xml:space="preserve">SECRETARÍA DE EDUCACIÓN DE BOGOTÁ, </w:t>
      </w:r>
      <w:r w:rsidRPr="004731E2">
        <w:rPr>
          <w:rFonts w:eastAsiaTheme="minorHAnsi"/>
          <w:color w:val="000000"/>
          <w:sz w:val="18"/>
          <w:szCs w:val="18"/>
          <w:lang w:eastAsia="en-US"/>
        </w:rPr>
        <w:t>SEICE 2011:66</w:t>
      </w:r>
      <w:r>
        <w:rPr>
          <w:rFonts w:eastAsiaTheme="minorHAnsi"/>
          <w:color w:val="000000"/>
          <w:sz w:val="18"/>
          <w:szCs w:val="18"/>
          <w:lang w:eastAsia="en-US"/>
        </w:rPr>
        <w:t>, SEICE es el Sistema de Evaluación Integral de la Calidad de la Educación.</w:t>
      </w:r>
    </w:p>
  </w:footnote>
  <w:footnote w:id="52">
    <w:p w:rsidR="00DE7322" w:rsidRPr="00FD7DD3" w:rsidRDefault="00DE7322" w:rsidP="00FD7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color w:val="000000"/>
          <w:sz w:val="18"/>
          <w:szCs w:val="18"/>
          <w:lang w:val="es-ES" w:eastAsia="en-U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FD7DD3">
        <w:rPr>
          <w:rFonts w:ascii="Times New Roman" w:eastAsiaTheme="minorHAnsi" w:hAnsi="Times New Roman" w:cs="Times New Roman"/>
          <w:color w:val="000000"/>
          <w:sz w:val="18"/>
          <w:szCs w:val="18"/>
          <w:lang w:val="es-ES" w:eastAsia="en-US"/>
        </w:rPr>
        <w:t>SECR</w:t>
      </w:r>
      <w:r>
        <w:rPr>
          <w:rFonts w:ascii="Times New Roman" w:eastAsiaTheme="minorHAnsi" w:hAnsi="Times New Roman" w:cs="Times New Roman"/>
          <w:color w:val="000000"/>
          <w:sz w:val="18"/>
          <w:szCs w:val="18"/>
          <w:lang w:val="es-ES" w:eastAsia="en-US"/>
        </w:rPr>
        <w:t>ETARÍA DE EDUCACIÓN DE BOGOTÁ - SEICE</w:t>
      </w:r>
      <w:r w:rsidRPr="00FD7DD3">
        <w:rPr>
          <w:rFonts w:ascii="Times New Roman" w:eastAsiaTheme="minorHAnsi" w:hAnsi="Times New Roman" w:cs="Times New Roman"/>
          <w:color w:val="000000"/>
          <w:sz w:val="18"/>
          <w:szCs w:val="18"/>
          <w:lang w:val="es-ES" w:eastAsia="en-US"/>
        </w:rPr>
        <w:t xml:space="preserve"> (2011): Lo que dicen los resultados de las pruebas externas en Bogotá, formato PDF.</w:t>
      </w:r>
      <w:r>
        <w:rPr>
          <w:rFonts w:ascii="Times New Roman" w:eastAsiaTheme="minorHAnsi" w:hAnsi="Times New Roman" w:cs="Times New Roman"/>
          <w:color w:val="000000"/>
          <w:sz w:val="18"/>
          <w:szCs w:val="18"/>
          <w:lang w:val="es-ES" w:eastAsia="en-US"/>
        </w:rPr>
        <w:t xml:space="preserve"> </w:t>
      </w:r>
    </w:p>
  </w:footnote>
  <w:footnote w:id="53">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w:t>
      </w:r>
      <w:r w:rsidRPr="004731E2">
        <w:rPr>
          <w:rFonts w:eastAsiaTheme="minorHAnsi"/>
          <w:color w:val="000000"/>
          <w:sz w:val="18"/>
          <w:szCs w:val="18"/>
          <w:lang w:eastAsia="en-US"/>
        </w:rPr>
        <w:t>Esta prueba tiene por objeto contribuir al mejoramiento de la calidad de la educación mediante la realización de medidas periódicas del desarrollo de competencias de los estudiantes de educación básica, como indicador de calidad del sistema educativo, para identificar los conocimientos, habilidades y valores que todos los estudiantes colombianos adquieren durante la trayectoria escolar. La prueba evalúa las competencias básicas de los estudiantes de 5° y 9° grados en lenguaje, matemáticas y ciencias naturales.</w:t>
      </w:r>
    </w:p>
  </w:footnote>
  <w:footnote w:id="54">
    <w:p w:rsidR="00DE7322" w:rsidRPr="000D1D8F" w:rsidRDefault="00DE7322" w:rsidP="005131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hAnsi="Times New Roman" w:cs="Times New Roman"/>
          <w:color w:val="000000"/>
          <w:sz w:val="18"/>
          <w:szCs w:val="18"/>
        </w:rPr>
        <w:t>La evaluación integral abarca un conjunto de componentes, factores y variables que dan cuenta de la integralidad y dinámica de los procesos de la institución educativa. Es un proceso de observación, registro, análisis y ponderación en los que el diseño, las etapas de desarrollo y los resultados constituyen actos de aprendizaje, de producción de conocimiento, de retroalimentación y de nuevas alternativas de acción en los colegios. Fuente, SEICE, 2011.</w:t>
      </w:r>
    </w:p>
  </w:footnote>
  <w:footnote w:id="55">
    <w:p w:rsidR="00DE7322" w:rsidRPr="004731E2" w:rsidRDefault="00DE7322" w:rsidP="001737C4">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Secretaría Distrital de Planeación (2011): Primera encuesta multipropósito para Bogotá.  Pp. 78.</w:t>
      </w:r>
    </w:p>
  </w:footnote>
  <w:footnote w:id="56">
    <w:p w:rsidR="00DE7322" w:rsidRPr="004731E2" w:rsidRDefault="00DE7322" w:rsidP="004731E2">
      <w:pPr>
        <w:autoSpaceDE w:val="0"/>
        <w:autoSpaceDN w:val="0"/>
        <w:adjustRightInd w:val="0"/>
        <w:jc w:val="both"/>
        <w:rPr>
          <w:rFonts w:ascii="Times New Roman" w:hAnsi="Times New Roman" w:cs="Times New Roman"/>
          <w:sz w:val="18"/>
          <w:szCs w:val="18"/>
          <w:lang w:eastAsia="es-E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lang w:eastAsia="es-ES"/>
        </w:rPr>
        <w:t>Las tasas de asistencia constituyen otra forma de mirar la capacidad del sistema de responder a las demandas de la sociedad en materia de educación. A diferencia de las tasas de cobertura, que centran su atención en los niveles educativos, las de asistencia se concentran en los rangos de edad de la población. Si bien se mantienen los rangos de edad establecidos para estimar las tasas de cobertura, la asistencia escolar mira si un estudiante es atendido, independientemente del grado y nivel que esté cursando</w:t>
      </w:r>
      <w:r w:rsidRPr="004731E2">
        <w:rPr>
          <w:rFonts w:ascii="Times New Roman" w:hAnsi="Times New Roman" w:cs="Times New Roman"/>
          <w:iCs/>
          <w:sz w:val="18"/>
          <w:szCs w:val="18"/>
          <w:lang w:eastAsia="es-ES"/>
        </w:rPr>
        <w:t>.</w:t>
      </w:r>
    </w:p>
  </w:footnote>
  <w:footnote w:id="57">
    <w:p w:rsidR="00DE7322" w:rsidRPr="00FD7DD3" w:rsidRDefault="00DE7322" w:rsidP="004731E2">
      <w:pPr>
        <w:pStyle w:val="Textonotapie"/>
        <w:rPr>
          <w:rFonts w:eastAsiaTheme="minorEastAsia"/>
          <w:sz w:val="18"/>
          <w:szCs w:val="18"/>
          <w:lang w:val="es-ES_tradnl" w:eastAsia="es-ES"/>
        </w:rPr>
      </w:pPr>
      <w:r w:rsidRPr="004731E2">
        <w:rPr>
          <w:rStyle w:val="Refdenotaalpie"/>
          <w:sz w:val="18"/>
          <w:szCs w:val="18"/>
        </w:rPr>
        <w:footnoteRef/>
      </w:r>
      <w:r w:rsidRPr="004731E2">
        <w:rPr>
          <w:sz w:val="18"/>
          <w:szCs w:val="18"/>
        </w:rPr>
        <w:t xml:space="preserve"> </w:t>
      </w:r>
      <w:r w:rsidRPr="00FD7DD3">
        <w:rPr>
          <w:rFonts w:eastAsiaTheme="minorEastAsia"/>
          <w:sz w:val="18"/>
          <w:szCs w:val="18"/>
          <w:lang w:val="es-ES_tradnl" w:eastAsia="es-ES"/>
        </w:rPr>
        <w:t>SECRETARÍA DISTRITAL DE PLANEACIÓN (2011): Primera encuesta multipropósito para Bogotá. Pp. 48 – 53.</w:t>
      </w:r>
    </w:p>
  </w:footnote>
  <w:footnote w:id="58">
    <w:p w:rsidR="00DE7322" w:rsidRPr="004731E2" w:rsidRDefault="00DE7322" w:rsidP="004731E2">
      <w:pPr>
        <w:pStyle w:val="Prrafodelista"/>
        <w:ind w:left="0"/>
        <w:jc w:val="both"/>
        <w:rPr>
          <w:sz w:val="18"/>
          <w:szCs w:val="18"/>
        </w:rPr>
      </w:pPr>
      <w:r w:rsidRPr="004731E2">
        <w:rPr>
          <w:rStyle w:val="Refdenotaalpie"/>
          <w:sz w:val="18"/>
          <w:szCs w:val="18"/>
        </w:rPr>
        <w:footnoteRef/>
      </w:r>
      <w:r w:rsidRPr="004731E2">
        <w:rPr>
          <w:sz w:val="18"/>
          <w:szCs w:val="18"/>
        </w:rPr>
        <w:t xml:space="preserve"> </w:t>
      </w:r>
      <w:r w:rsidRPr="00FD7DD3">
        <w:rPr>
          <w:rFonts w:eastAsiaTheme="minorEastAsia"/>
          <w:sz w:val="18"/>
          <w:szCs w:val="18"/>
          <w:lang w:eastAsia="es-ES"/>
        </w:rPr>
        <w:t xml:space="preserve">SECRETARÍA DISTRITAL DE PLANEACIÓN (2011): Primera encuesta multipropósito para Bogotá. </w:t>
      </w:r>
      <w:r w:rsidRPr="004731E2">
        <w:rPr>
          <w:iCs/>
          <w:sz w:val="18"/>
          <w:szCs w:val="18"/>
          <w:lang w:eastAsia="es-ES"/>
        </w:rPr>
        <w:t xml:space="preserve">Pp. 50 – 53. </w:t>
      </w:r>
      <w:r w:rsidRPr="004731E2">
        <w:rPr>
          <w:sz w:val="18"/>
          <w:szCs w:val="18"/>
        </w:rPr>
        <w:t>Los datos anteriores  confirman dos hechos centrales sobre el estado de la educación superior en Bogotá: de una parte, es evidente la desigualdad entre localidades en el porcentaje de población con título universitario como máximo título alcanzado; y por la otra, los bajísimos porcentajes en algunas localidades y los altos porcentajes en otras estarían indicando altos niveles de  segregación espacial en la educación superior de la capital colombiana, muy ligados a la segregación social y económica, como ocurre en localidades como Usme, una localidad homogénea en términos de  pobreza y segregada en relación con las demás localidades de Bogotá. (FM)</w:t>
      </w:r>
    </w:p>
  </w:footnote>
  <w:footnote w:id="59">
    <w:p w:rsidR="00DE7322" w:rsidRPr="004731E2" w:rsidRDefault="00DE7322" w:rsidP="004731E2">
      <w:pPr>
        <w:pStyle w:val="Textonotapie"/>
        <w:rPr>
          <w:sz w:val="18"/>
          <w:szCs w:val="18"/>
        </w:rPr>
      </w:pPr>
      <w:r w:rsidRPr="004731E2">
        <w:rPr>
          <w:rStyle w:val="Refdenotaalpie"/>
          <w:sz w:val="18"/>
          <w:szCs w:val="18"/>
        </w:rPr>
        <w:footnoteRef/>
      </w:r>
      <w:r w:rsidRPr="004731E2">
        <w:rPr>
          <w:sz w:val="18"/>
          <w:szCs w:val="18"/>
        </w:rPr>
        <w:t xml:space="preserve">  </w:t>
      </w:r>
      <w:r w:rsidRPr="00FD7DD3">
        <w:rPr>
          <w:rFonts w:eastAsiaTheme="minorEastAsia"/>
          <w:sz w:val="18"/>
          <w:szCs w:val="18"/>
          <w:lang w:val="es-ES_tradnl" w:eastAsia="es-ES"/>
        </w:rPr>
        <w:t xml:space="preserve">SECRETARÍA DISTRITAL DE PLANEACIÓN (2011): Primera encuesta multipropósito para Bogotá. </w:t>
      </w:r>
      <w:r>
        <w:rPr>
          <w:sz w:val="18"/>
          <w:szCs w:val="18"/>
        </w:rPr>
        <w:t>Pp. 54</w:t>
      </w:r>
      <w:r w:rsidRPr="004731E2">
        <w:rPr>
          <w:sz w:val="18"/>
          <w:szCs w:val="18"/>
        </w:rPr>
        <w:t>.</w:t>
      </w:r>
    </w:p>
  </w:footnote>
  <w:footnote w:id="60">
    <w:p w:rsidR="00DE7322" w:rsidRPr="004731E2" w:rsidRDefault="00DE7322" w:rsidP="004731E2">
      <w:pPr>
        <w:pStyle w:val="Textonotapie"/>
        <w:jc w:val="both"/>
        <w:rPr>
          <w:sz w:val="18"/>
          <w:szCs w:val="18"/>
          <w:lang w:val="es-MX"/>
        </w:rPr>
      </w:pPr>
      <w:r w:rsidRPr="004731E2">
        <w:rPr>
          <w:rStyle w:val="Refdenotaalpie"/>
          <w:sz w:val="18"/>
          <w:szCs w:val="18"/>
        </w:rPr>
        <w:footnoteRef/>
      </w:r>
      <w:r w:rsidRPr="004731E2">
        <w:rPr>
          <w:sz w:val="18"/>
          <w:szCs w:val="18"/>
          <w:lang w:val="es-MX"/>
        </w:rPr>
        <w:t xml:space="preserve"> </w:t>
      </w:r>
      <w:r w:rsidRPr="004731E2">
        <w:rPr>
          <w:rFonts w:eastAsiaTheme="minorHAnsi"/>
          <w:sz w:val="18"/>
          <w:szCs w:val="18"/>
          <w:lang w:val="es-CO" w:eastAsia="en-US"/>
        </w:rPr>
        <w:t>Las tasas de cobertura presentadas fueron calculadas de acuerdo con la Resolución 2022 de marzo 24 de 2010 expedida por el Ministerio de Educación Nacional, por la cual se definió la  metodología para la certificación de la cobertura en educación preescolar, básica y media relacionada con la destinación de los recursos de regalías y compensaciones de conformidad con lo establecido en el Decreto 416 de 2007.</w:t>
      </w:r>
      <w:r w:rsidRPr="004731E2">
        <w:rPr>
          <w:sz w:val="18"/>
          <w:szCs w:val="18"/>
          <w:lang w:val="es-MX"/>
        </w:rPr>
        <w:t xml:space="preserve">         </w:t>
      </w:r>
    </w:p>
  </w:footnote>
  <w:footnote w:id="61">
    <w:p w:rsidR="00DE7322" w:rsidRPr="004731E2" w:rsidRDefault="00DE7322" w:rsidP="004731E2">
      <w:pPr>
        <w:autoSpaceDE w:val="0"/>
        <w:autoSpaceDN w:val="0"/>
        <w:adjustRightInd w:val="0"/>
        <w:jc w:val="both"/>
        <w:rPr>
          <w:rFonts w:ascii="Times New Roman" w:hAnsi="Times New Roman" w:cs="Times New Roman"/>
          <w:sz w:val="18"/>
          <w:szCs w:val="18"/>
          <w:lang w:eastAsia="es-E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lang w:eastAsia="es-ES"/>
        </w:rPr>
        <w:t xml:space="preserve"> Banco Mundial (2009): La calidad de la educación en Colombia: un análisis y algunas opciones para un programa de política. Pp. 25.</w:t>
      </w:r>
    </w:p>
  </w:footnote>
  <w:footnote w:id="62">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w:t>
      </w:r>
      <w:r w:rsidRPr="004731E2">
        <w:rPr>
          <w:sz w:val="18"/>
          <w:szCs w:val="18"/>
          <w:lang w:eastAsia="es-ES"/>
        </w:rPr>
        <w:t>La tasa de cobertura neta (ajustada), muestra la relación de los niños, niñas y jóvenes matriculados en un nivel determinado con la edad escolar (PEE) apropiada para ese nivel, la cual, se ajusta restándole la población que tiene la edad correspondiente a dicho nivel pero se encuentran matriculados en el nivel inmediatamente posterior, es decir se resta de la PEE los niños y jóvenes que se encuentran adelantados en un grado o nivel con respecto a su edad (extraedad positiva).</w:t>
      </w:r>
    </w:p>
  </w:footnote>
  <w:footnote w:id="63">
    <w:p w:rsidR="00DE7322" w:rsidRPr="004731E2" w:rsidRDefault="00DE7322" w:rsidP="004731E2">
      <w:pPr>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hAnsi="Times New Roman" w:cs="Times New Roman"/>
          <w:sz w:val="18"/>
          <w:szCs w:val="18"/>
          <w:lang w:val="es-ES"/>
        </w:rPr>
        <w:t>Las tasas de cobertura neta por localidad no se calculan, debido a que  analizando la información de proyecciones de  población se ha identificado que en muchas localidades el dato de la matrícula por edades simples, supera al dato reportado por la población DANE para estas edades,  razón por la cual  las tasas netas por</w:t>
      </w:r>
      <w:r>
        <w:rPr>
          <w:rFonts w:ascii="Times New Roman" w:hAnsi="Times New Roman" w:cs="Times New Roman"/>
          <w:sz w:val="18"/>
          <w:szCs w:val="18"/>
          <w:lang w:val="es-ES"/>
        </w:rPr>
        <w:t xml:space="preserve"> localidad sobrepasan el 100%.</w:t>
      </w:r>
    </w:p>
  </w:footnote>
  <w:footnote w:id="64">
    <w:p w:rsidR="00DE7322" w:rsidRPr="004731E2" w:rsidRDefault="00DE7322" w:rsidP="004731E2">
      <w:pPr>
        <w:pStyle w:val="Default"/>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hAnsi="Times New Roman" w:cs="Times New Roman"/>
          <w:sz w:val="18"/>
          <w:szCs w:val="18"/>
          <w:lang w:val="es-ES"/>
        </w:rPr>
        <w:t xml:space="preserve">La tasa de cobertura neta para preescolar corresponde a la relación entre la matrícula  oficial y privada  que cumple con dos condiciones: niños y niñas que tengan 5 años, y que  estén  matriculados en el nivel de transición. Analizando la composición del indicador, se observa que la matrícula para este nivel ha descendido gradualmente (numerador), mientras que la población en edad escolar (5 años) se ha mantenido en el período observado (denominador). El comportamiento puede explicarse en el hecho de que muchos niños de 5 años están matriculados en los grados de jardín y pre jardín en el sector privado. </w:t>
      </w:r>
    </w:p>
  </w:footnote>
  <w:footnote w:id="65">
    <w:p w:rsidR="00DE7322" w:rsidRDefault="00DE7322" w:rsidP="00F719B3">
      <w:pPr>
        <w:pStyle w:val="Textonotapie"/>
        <w:jc w:val="both"/>
      </w:pPr>
      <w:r>
        <w:rPr>
          <w:rStyle w:val="Refdenotaalpie"/>
        </w:rPr>
        <w:footnoteRef/>
      </w:r>
      <w:r>
        <w:t xml:space="preserve">  SECRETARÍA DE EDUCACIÓN DE BOGOTÁ (2011), Caracterización del sector educativo 2011, Boletín estadístico, p.36.</w:t>
      </w:r>
    </w:p>
  </w:footnote>
  <w:footnote w:id="66">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SECRETARÍA DE EDUCACIÓN DE BOGOTÁ (2010): Caracterización del sector educati</w:t>
      </w:r>
      <w:r>
        <w:rPr>
          <w:rFonts w:ascii="Times New Roman" w:hAnsi="Times New Roman" w:cs="Times New Roman"/>
          <w:sz w:val="18"/>
          <w:szCs w:val="18"/>
        </w:rPr>
        <w:t xml:space="preserve">vo 2010 - Boletín estadístico, </w:t>
      </w:r>
      <w:r w:rsidRPr="004731E2">
        <w:rPr>
          <w:rFonts w:ascii="Times New Roman" w:hAnsi="Times New Roman" w:cs="Times New Roman"/>
          <w:sz w:val="18"/>
          <w:szCs w:val="18"/>
        </w:rPr>
        <w:t>p. 55.</w:t>
      </w:r>
    </w:p>
  </w:footnote>
  <w:footnote w:id="67">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SECRETARÍA DISTRITAL DE PLANEACIÓN (2011): Primera encuesta multipropósito para Bogotá.  Pp. 39. En 2011 la tasa de deserción en el sector oficial aumentó a 4,3 y la de reprobación alcanzó 10,4.</w:t>
      </w:r>
    </w:p>
  </w:footnote>
  <w:footnote w:id="68">
    <w:p w:rsidR="00DE7322" w:rsidRPr="004731E2" w:rsidRDefault="00DE7322" w:rsidP="004731E2">
      <w:pPr>
        <w:jc w:val="both"/>
        <w:rPr>
          <w:rFonts w:ascii="Times New Roman" w:hAnsi="Times New Roman" w:cs="Times New Roman"/>
          <w:bCs/>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hAnsi="Times New Roman" w:cs="Times New Roman"/>
          <w:bCs/>
          <w:sz w:val="18"/>
          <w:szCs w:val="18"/>
        </w:rPr>
        <w:t>Por otra parte cerca de 11.700 estudiantes no continuaron sus estudios entre 2009 y 2010 para el ciclo V (grados 10 y 11). Por otra parte, los resultados de la ENDE (Encuesta Nacional de Deserción Escolar) afirman que entre las causas de retiro de los desertores está el que no les gusta el estudio. (Ficha EBI del proyecto 891).</w:t>
      </w:r>
    </w:p>
  </w:footnote>
  <w:footnote w:id="69">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Cifras consolidadas por la Dirección de educación de preescolar y básica de la SED, con base en Diagnóstico Distrital de Infancia y Adolescencia realizado por las entidades del Distrito en 2011  </w:t>
      </w:r>
    </w:p>
  </w:footnote>
  <w:footnote w:id="70">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Cifra que reporta mayor atención al porcentaje presentado anteriormente, porque incluye los servicios prestados por el ICBF, SIS, y jardines infantiles. </w:t>
      </w:r>
    </w:p>
  </w:footnote>
  <w:footnote w:id="71">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eastAsia="KozGoPro-Bold" w:hAnsi="Times New Roman" w:cs="Times New Roman"/>
          <w:sz w:val="18"/>
          <w:szCs w:val="18"/>
        </w:rPr>
        <w:t>La atención en el sistema educativo a las personas en condición de discapacidad, los indígenas y la población en situación de desplazamiento se incrementó más del 60% en el período 2006-2009. La atención de la población en situación de desplazamiento se duplicó en el mismo período. (Medellín, Fernando, 2012).</w:t>
      </w:r>
    </w:p>
  </w:footnote>
  <w:footnote w:id="72">
    <w:p w:rsidR="00DE7322" w:rsidRPr="004731E2" w:rsidRDefault="00DE7322" w:rsidP="004731E2">
      <w:pPr>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eastAsia="Calibri" w:hAnsi="Times New Roman" w:cs="Times New Roman"/>
          <w:sz w:val="18"/>
          <w:szCs w:val="18"/>
        </w:rPr>
        <w:t xml:space="preserve">El seguimiento a la matrícula oficial que hace la SED establece enfoques diferenciales en virtud a las prioridades definidas por la política pública educativa en materia de atención a población vulnerable. Es así como las estadísticas nos permiten precisar el ingreso al sistema educativo por parte de niños, niñas y </w:t>
      </w:r>
      <w:r w:rsidR="00170F69">
        <w:rPr>
          <w:rFonts w:ascii="Times New Roman" w:eastAsia="Calibri" w:hAnsi="Times New Roman" w:cs="Times New Roman"/>
          <w:sz w:val="18"/>
          <w:szCs w:val="18"/>
        </w:rPr>
        <w:t>jóvene</w:t>
      </w:r>
      <w:r w:rsidRPr="004731E2">
        <w:rPr>
          <w:rFonts w:ascii="Times New Roman" w:eastAsia="Calibri" w:hAnsi="Times New Roman" w:cs="Times New Roman"/>
          <w:sz w:val="18"/>
          <w:szCs w:val="18"/>
        </w:rPr>
        <w:t>s de los estratos más desfavorecidos, víctimas del conflicto armado, pertenecientes a grupos étnicos, y con necesidades educativas especiales.</w:t>
      </w:r>
    </w:p>
  </w:footnote>
  <w:footnote w:id="73">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El censo de 2005 reportó 333.301 personas en condición de discapacidad, equivalentes al 4,9% de la población total de la ciudad. La población de 5 a 17 años con alguna limitación fue de 49.078 equivalentes al 14,8% de la población total en condición de discapacidad de Bogotá. (Medellín, Fernando, 2012).</w:t>
      </w:r>
    </w:p>
  </w:footnote>
  <w:footnote w:id="74">
    <w:p w:rsidR="00DE7322" w:rsidRPr="004731E2" w:rsidRDefault="00DE7322" w:rsidP="004731E2">
      <w:pPr>
        <w:autoSpaceDE w:val="0"/>
        <w:autoSpaceDN w:val="0"/>
        <w:adjustRightInd w:val="0"/>
        <w:jc w:val="both"/>
        <w:rPr>
          <w:rFonts w:ascii="Times New Roman" w:eastAsia="KozGoPro-Bold" w:hAnsi="Times New Roman" w:cs="Times New Roman"/>
          <w:bCs/>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eastAsia="KozGoPro-Bold" w:hAnsi="Times New Roman" w:cs="Times New Roman"/>
          <w:bCs/>
          <w:sz w:val="18"/>
          <w:szCs w:val="18"/>
        </w:rPr>
        <w:t>El DANE no dispone de datos más recientes sobre la población según grupos étnicos, por lo que la información que se presenta a continuación corresponde al censo de 2005. Para ese año la población que se auto-reconoció como perteneciente a grupos étnicos en la ciudad (indígenas, Rom, Raizal de San Andrés y providencia, y negro, mulato o afrocolombiano) ascendió a 113.440 personas, de las cuales 23.266 (20,5%) corresponden a población en edad escolar (5 a 17 años). Del total de esta última, el 87,2% (20.296 personas) se auto-reconoció como negro, mulato o afrocolombiano, el 11,1% (2.587 personas) como indígena, el 1,6% (254 personas) como raizal de San Andrés y Providencia y el 0,6% (129 personas) como Rom. Ninguna persona de 5 a 17 años se auto-reconoció como palenquera. (Medellín, Fernando, 2012).</w:t>
      </w:r>
    </w:p>
  </w:footnote>
  <w:footnote w:id="75">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SECRETARÍA DISTRITAL DE PLANEACIÓN (2011): Primera encuesta multipropósito para Bogotá.  Pp. 79.</w:t>
      </w:r>
    </w:p>
  </w:footnote>
  <w:footnote w:id="76">
    <w:p w:rsidR="00DE7322" w:rsidRPr="004731E2" w:rsidRDefault="00DE7322" w:rsidP="004731E2">
      <w:pPr>
        <w:pStyle w:val="Textonotapie"/>
        <w:rPr>
          <w:sz w:val="18"/>
          <w:szCs w:val="18"/>
        </w:rPr>
      </w:pPr>
      <w:r w:rsidRPr="004731E2">
        <w:rPr>
          <w:rStyle w:val="Refdenotaalpie"/>
          <w:sz w:val="18"/>
          <w:szCs w:val="18"/>
        </w:rPr>
        <w:footnoteRef/>
      </w:r>
      <w:r w:rsidRPr="004731E2">
        <w:rPr>
          <w:sz w:val="18"/>
          <w:szCs w:val="18"/>
        </w:rPr>
        <w:t xml:space="preserve">  La Secretaría de Educación tiene perfiles educativos por localidades que muestran la situación en cada una de ellas en variables relevantes.</w:t>
      </w:r>
    </w:p>
  </w:footnote>
  <w:footnote w:id="77">
    <w:p w:rsidR="00DE7322" w:rsidRPr="004731E2" w:rsidRDefault="00DE7322" w:rsidP="004731E2">
      <w:pPr>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hAnsi="Times New Roman" w:cs="Times New Roman"/>
          <w:color w:val="000000"/>
          <w:sz w:val="18"/>
          <w:szCs w:val="18"/>
        </w:rPr>
        <w:t>Los resultados de la Encuesta de calidad de vida del año 2007, indican que las principales razones para no estudiar en la ciudad de Bogotá son los costos educativos o la falta de dinero (28.0%), la necesidad de trabajar (30.0%), la necesidad de encargarse de las labores domésticas, del cuidado de los niños o de otras personas del hogar (11.1%). (p. 8, Plan Sectorial, 2008-2012).</w:t>
      </w:r>
    </w:p>
  </w:footnote>
  <w:footnote w:id="78">
    <w:p w:rsidR="00DE7322" w:rsidRPr="004731E2" w:rsidRDefault="00DE7322" w:rsidP="004731E2">
      <w:pPr>
        <w:pStyle w:val="Textonotapie"/>
        <w:jc w:val="both"/>
        <w:rPr>
          <w:sz w:val="18"/>
          <w:szCs w:val="18"/>
        </w:rPr>
      </w:pPr>
      <w:r w:rsidRPr="004731E2">
        <w:rPr>
          <w:rStyle w:val="Refdenotaalpie"/>
          <w:rFonts w:eastAsiaTheme="minorEastAsia"/>
          <w:sz w:val="18"/>
          <w:szCs w:val="18"/>
        </w:rPr>
        <w:footnoteRef/>
      </w:r>
      <w:r w:rsidRPr="004731E2">
        <w:rPr>
          <w:sz w:val="18"/>
          <w:szCs w:val="18"/>
        </w:rPr>
        <w:t xml:space="preserve"> La tasa de trabajo infantil en Bogotá es de 2.8%, menor a la de las principales ciudades del país, pero significa que 45.937 niños, niñas y </w:t>
      </w:r>
      <w:r w:rsidR="00170F69">
        <w:rPr>
          <w:sz w:val="18"/>
          <w:szCs w:val="18"/>
        </w:rPr>
        <w:t>jóven</w:t>
      </w:r>
      <w:r w:rsidRPr="004731E2">
        <w:rPr>
          <w:sz w:val="18"/>
          <w:szCs w:val="18"/>
        </w:rPr>
        <w:t>es se encontraban trabajando en el trimestre octubre-diciembre de 2009, a los cuales se suman 23.451 que estaban buscando trabajo. Del total de menores trabajadores, el 38,7% no asiste a un establecimiento educativo y el 68% de quienes buscan trabajo. (Medellín, Fernando, 2012)</w:t>
      </w:r>
    </w:p>
  </w:footnote>
  <w:footnote w:id="79">
    <w:p w:rsidR="00DE7322" w:rsidRPr="004731E2" w:rsidRDefault="00DE7322" w:rsidP="004731E2">
      <w:pPr>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color w:val="000000"/>
          <w:sz w:val="18"/>
          <w:szCs w:val="18"/>
        </w:rPr>
        <w:t xml:space="preserve">Varios estudios coinciden en estos factores asociados a la deserción. Al respecto pueden consultarse fuentes como: </w:t>
      </w:r>
      <w:r w:rsidRPr="004731E2">
        <w:rPr>
          <w:rFonts w:ascii="Times New Roman" w:hAnsi="Times New Roman" w:cs="Times New Roman"/>
          <w:sz w:val="18"/>
          <w:szCs w:val="18"/>
          <w:lang w:eastAsia="es-ES"/>
        </w:rPr>
        <w:t>MINISTERIO DE EDUCACIÓN NACIONAL, UNIVERSIDAD NACIONAL DE COLOMBIA (2008): Encuesta Nacional de Deserción Escolar 2008</w:t>
      </w:r>
      <w:r w:rsidRPr="004731E2">
        <w:rPr>
          <w:rFonts w:ascii="Times New Roman" w:hAnsi="Times New Roman" w:cs="Times New Roman"/>
          <w:color w:val="000000"/>
          <w:sz w:val="18"/>
          <w:szCs w:val="18"/>
        </w:rPr>
        <w:t xml:space="preserve">. </w:t>
      </w:r>
      <w:r w:rsidRPr="004731E2">
        <w:rPr>
          <w:rFonts w:ascii="Times New Roman" w:hAnsi="Times New Roman" w:cs="Times New Roman"/>
          <w:sz w:val="18"/>
          <w:szCs w:val="18"/>
        </w:rPr>
        <w:t xml:space="preserve">CORPOEDUCACIÓN (2006): Situación de la educación preescolar, básica, media y superior en Colombia. Segunda edición. </w:t>
      </w:r>
      <w:r w:rsidRPr="004731E2">
        <w:rPr>
          <w:rFonts w:ascii="Times New Roman" w:hAnsi="Times New Roman" w:cs="Times New Roman"/>
          <w:sz w:val="18"/>
          <w:szCs w:val="18"/>
          <w:lang w:eastAsia="es-ES"/>
        </w:rPr>
        <w:t>EDUCACIÓN COMPROMISO DE TODOS (2010) Una mirada a las cifras de la educación en Colombia 2002 – 2009.</w:t>
      </w:r>
    </w:p>
  </w:footnote>
  <w:footnote w:id="80">
    <w:p w:rsidR="00DE7322" w:rsidRPr="004731E2" w:rsidRDefault="00DE7322" w:rsidP="004731E2">
      <w:pPr>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Infraestructura y dotación. </w:t>
      </w:r>
      <w:r w:rsidRPr="004731E2">
        <w:rPr>
          <w:rFonts w:ascii="Times New Roman" w:hAnsi="Times New Roman" w:cs="Times New Roman"/>
          <w:color w:val="000000"/>
          <w:sz w:val="18"/>
          <w:szCs w:val="18"/>
        </w:rPr>
        <w:t>El sector oficial no cuenta con la suficiente infraestructura y dotación básica que permita garantizar el acceso y la permanencia de los niños, niñas y jóvenes a la educación preescolar, básica y media.</w:t>
      </w:r>
      <w:r w:rsidRPr="004731E2">
        <w:rPr>
          <w:rStyle w:val="Refdenotaalpie"/>
          <w:rFonts w:ascii="Times New Roman" w:hAnsi="Times New Roman" w:cs="Times New Roman"/>
          <w:color w:val="000000"/>
          <w:sz w:val="18"/>
          <w:szCs w:val="18"/>
        </w:rPr>
        <w:footnoteRef/>
      </w:r>
      <w:r w:rsidRPr="004731E2">
        <w:rPr>
          <w:rFonts w:ascii="Times New Roman" w:hAnsi="Times New Roman" w:cs="Times New Roman"/>
          <w:color w:val="000000"/>
          <w:sz w:val="18"/>
          <w:szCs w:val="18"/>
        </w:rPr>
        <w:t xml:space="preserve">  </w:t>
      </w:r>
      <w:r w:rsidRPr="004731E2">
        <w:rPr>
          <w:rFonts w:ascii="Times New Roman" w:hAnsi="Times New Roman" w:cs="Times New Roman"/>
          <w:sz w:val="18"/>
          <w:szCs w:val="18"/>
        </w:rPr>
        <w:t>En la actualidad se cuenta con 11.281 aulas, en un área de lotes de 3.796.276 M2 y un área construida de 1.852.012 M2, dis</w:t>
      </w:r>
      <w:r>
        <w:rPr>
          <w:rFonts w:ascii="Times New Roman" w:hAnsi="Times New Roman" w:cs="Times New Roman"/>
          <w:sz w:val="18"/>
          <w:szCs w:val="18"/>
        </w:rPr>
        <w:t>tribuidas y administradas en 359</w:t>
      </w:r>
      <w:r w:rsidRPr="004731E2">
        <w:rPr>
          <w:rFonts w:ascii="Times New Roman" w:hAnsi="Times New Roman" w:cs="Times New Roman"/>
          <w:sz w:val="18"/>
          <w:szCs w:val="18"/>
        </w:rPr>
        <w:t xml:space="preserve"> colegios y 702 sedes las cuales se califican según su estado en lo relacionado con 5 criterios: (1) aspectos legales, (2) ambientes y áreas requeridas, (3) calidad espacial y funcional, (4) norma sismo resistente y seguridad y (5) Nivel de conservación. Como resultado de los análisis de dichos aspectos -y pese a los esfuerzos sin precedentes de los últimos ocho años- 90 sedes se califican óptimas (13%), 277 sedes se encuentran en un nivel adecuado (39%), 181 sedes son aceptables (26%) y 155 sedes todavía se encuentran en estado crítico (22%).</w:t>
      </w:r>
      <w:r w:rsidRPr="004731E2">
        <w:rPr>
          <w:rFonts w:ascii="Times New Roman" w:hAnsi="Times New Roman" w:cs="Times New Roman"/>
          <w:sz w:val="18"/>
          <w:szCs w:val="18"/>
          <w:u w:val="single"/>
        </w:rPr>
        <w:t xml:space="preserve"> </w:t>
      </w:r>
      <w:r w:rsidRPr="004731E2">
        <w:rPr>
          <w:rFonts w:ascii="Times New Roman" w:hAnsi="Times New Roman" w:cs="Times New Roman"/>
          <w:sz w:val="18"/>
          <w:szCs w:val="18"/>
        </w:rPr>
        <w:t>Agregadas a esta situación de baja calidad en los espacios educativos se suma la ubicación de los colegios en predios que present</w:t>
      </w:r>
      <w:r>
        <w:rPr>
          <w:rFonts w:ascii="Times New Roman" w:hAnsi="Times New Roman" w:cs="Times New Roman"/>
          <w:sz w:val="18"/>
          <w:szCs w:val="18"/>
        </w:rPr>
        <w:t>an problemas de titularidad, están ubicados en</w:t>
      </w:r>
      <w:r w:rsidRPr="004731E2">
        <w:rPr>
          <w:rFonts w:ascii="Times New Roman" w:hAnsi="Times New Roman" w:cs="Times New Roman"/>
          <w:sz w:val="18"/>
          <w:szCs w:val="18"/>
        </w:rPr>
        <w:t xml:space="preserve"> cercanía a factores de riesgo o presentan insuficiencia en cuanto a área para el cumplimiento de los estándares an</w:t>
      </w:r>
      <w:r>
        <w:rPr>
          <w:rFonts w:ascii="Times New Roman" w:hAnsi="Times New Roman" w:cs="Times New Roman"/>
          <w:sz w:val="18"/>
          <w:szCs w:val="18"/>
        </w:rPr>
        <w:t>tes mencionados,</w:t>
      </w:r>
      <w:r w:rsidRPr="004731E2">
        <w:rPr>
          <w:rFonts w:ascii="Times New Roman" w:hAnsi="Times New Roman" w:cs="Times New Roman"/>
          <w:sz w:val="18"/>
          <w:szCs w:val="18"/>
        </w:rPr>
        <w:t xml:space="preserve"> factores</w:t>
      </w:r>
      <w:r>
        <w:rPr>
          <w:rFonts w:ascii="Times New Roman" w:hAnsi="Times New Roman" w:cs="Times New Roman"/>
          <w:sz w:val="18"/>
          <w:szCs w:val="18"/>
        </w:rPr>
        <w:t xml:space="preserve"> que</w:t>
      </w:r>
      <w:r w:rsidRPr="004731E2">
        <w:rPr>
          <w:rFonts w:ascii="Times New Roman" w:hAnsi="Times New Roman" w:cs="Times New Roman"/>
          <w:sz w:val="18"/>
          <w:szCs w:val="18"/>
        </w:rPr>
        <w:t xml:space="preserve"> dificultan la obtención de una licencia de construcción y urbanismo, para mejorar los colegios por vía de ampliación de los mismos.</w:t>
      </w:r>
      <w:r w:rsidRPr="004731E2">
        <w:rPr>
          <w:rFonts w:ascii="Times New Roman" w:hAnsi="Times New Roman" w:cs="Times New Roman"/>
          <w:color w:val="000000"/>
          <w:sz w:val="18"/>
          <w:szCs w:val="18"/>
        </w:rPr>
        <w:t xml:space="preserve"> </w:t>
      </w:r>
    </w:p>
  </w:footnote>
  <w:footnote w:id="81">
    <w:p w:rsidR="00DE7322" w:rsidRPr="004731E2" w:rsidRDefault="00DE7322" w:rsidP="004731E2">
      <w:pPr>
        <w:pStyle w:val="Default"/>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Según la Encuesta Distrital de Demografía y Salud (EDDS) 2011, la razón principal por la cual los niños y las niñas del Distrito Capital no asisten a algún programa de atención a la primera infancia es porque sus padres prefieren cuidarlos en la casa. Según la Encuesta Multipropósito Bogotá (EMB) 2011, el lugar de mayor permanencia entre semana, durante las 6:00 a.m. y las 6:00 p.m., de los niños y niñas menores de 5 años, es su casa.  </w:t>
      </w:r>
    </w:p>
  </w:footnote>
  <w:footnote w:id="82">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Actualmente la SED atiende a 61.004 niños y niñas en pre jardín, jardín y transición a través de su oferta en colegios oficiales, de concesión, y convenio. Pese a ello, aún no ha desarrollado la capacidad institucional suficiente para afrontar el reto de la atención integral de los niños y niñas entre 3 a 5 años en cuanto a salud y nutrición, cuidado calificado, protección y educación inicial.</w:t>
      </w:r>
    </w:p>
  </w:footnote>
  <w:footnote w:id="83">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Una amplia gama de factores afectan el ambiente y la convivencia en los colegios: 33 de cada cien estudiantes expresa que no existe un ambiente agradable y de sana convivencia en su salón de clase. </w:t>
      </w:r>
      <w:r w:rsidRPr="004731E2">
        <w:rPr>
          <w:rFonts w:ascii="Times New Roman" w:eastAsia="KozGoPro-Bold" w:hAnsi="Times New Roman" w:cs="Times New Roman"/>
          <w:sz w:val="18"/>
          <w:szCs w:val="18"/>
        </w:rPr>
        <w:t xml:space="preserve">Resaltan las agresiones verbales y físicas entre compañeros y los robos como factores que alteran la buena convivencia.  </w:t>
      </w:r>
      <w:r w:rsidRPr="004731E2">
        <w:rPr>
          <w:rFonts w:ascii="Times New Roman" w:hAnsi="Times New Roman" w:cs="Times New Roman"/>
          <w:sz w:val="18"/>
          <w:szCs w:val="18"/>
          <w:lang w:eastAsia="es-CO"/>
        </w:rPr>
        <w:t xml:space="preserve">El 4,5% de la población escolar ha sido discriminada.  </w:t>
      </w:r>
      <w:r w:rsidRPr="004731E2">
        <w:rPr>
          <w:rFonts w:ascii="Times New Roman" w:hAnsi="Times New Roman" w:cs="Times New Roman"/>
          <w:sz w:val="18"/>
          <w:szCs w:val="18"/>
        </w:rPr>
        <w:t>A través de internet, cerca del 11% ha sido víctima de amenazas, ofensas o presión de alguien del colegio durante el último año. Es elevado el número de estudiantes que expresa haber pertenecido a una pandilla: 10 de cada 100 estudiantes; además, el 29% expresa haber visto situaciones de violencia en el colegio cometidas por pandillas</w:t>
      </w:r>
      <w:r w:rsidRPr="004731E2">
        <w:rPr>
          <w:rFonts w:ascii="Times New Roman" w:hAnsi="Times New Roman" w:cs="Times New Roman"/>
          <w:b/>
          <w:sz w:val="18"/>
          <w:szCs w:val="18"/>
        </w:rPr>
        <w:t xml:space="preserve">. </w:t>
      </w:r>
      <w:r w:rsidRPr="004731E2">
        <w:rPr>
          <w:rFonts w:ascii="Times New Roman" w:hAnsi="Times New Roman" w:cs="Times New Roman"/>
          <w:sz w:val="18"/>
          <w:szCs w:val="18"/>
        </w:rPr>
        <w:t xml:space="preserve">El 34% de los estudiantes manifiesta haber visto estudiantes armados en el colegio. </w:t>
      </w:r>
    </w:p>
  </w:footnote>
  <w:footnote w:id="84">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Se aclara que las tablas relacionan una planta de personal total de 32.004, sin embargo a nivel central laboran 22 docentes con vinculación provisional y 9 directivos cuya relación laboral con la SED es de carácter definitivo, con lo cual se completa el total de la planta docente</w:t>
      </w:r>
      <w:r>
        <w:rPr>
          <w:sz w:val="18"/>
          <w:szCs w:val="18"/>
        </w:rPr>
        <w:t>.</w:t>
      </w:r>
    </w:p>
  </w:footnote>
  <w:footnote w:id="85">
    <w:p w:rsidR="00DE7322" w:rsidRPr="004731E2" w:rsidRDefault="00DE7322" w:rsidP="004731E2">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hAnsi="Times New Roman" w:cs="Times New Roman"/>
          <w:sz w:val="18"/>
          <w:szCs w:val="18"/>
          <w:lang w:eastAsia="es-CO"/>
        </w:rPr>
        <w:t xml:space="preserve">El nivel educativo del personal docente distrital es mayor al del nivel nacional. </w:t>
      </w:r>
      <w:r w:rsidRPr="004731E2">
        <w:rPr>
          <w:rFonts w:ascii="Times New Roman" w:eastAsia="KozGoPro-Bold" w:hAnsi="Times New Roman" w:cs="Times New Roman"/>
          <w:sz w:val="18"/>
          <w:szCs w:val="18"/>
        </w:rPr>
        <w:t xml:space="preserve">La experiencia docente también es un potencial: el 43.8% de los docentes del estudio tiene 19 o más años de experiencia y sólo el 14,4% reporta menos de seis años. </w:t>
      </w:r>
      <w:r w:rsidRPr="004731E2">
        <w:rPr>
          <w:rFonts w:ascii="Times New Roman" w:hAnsi="Times New Roman" w:cs="Times New Roman"/>
          <w:sz w:val="18"/>
          <w:szCs w:val="18"/>
          <w:lang w:eastAsia="es-CO"/>
        </w:rPr>
        <w:t>Es bajo el porcentaje de docentes con buen dominio de idiomas: el 17,3% de los encuestados escribe bien el inglés, el 19,6%, lo lee bien; y so</w:t>
      </w:r>
      <w:r>
        <w:rPr>
          <w:rFonts w:ascii="Times New Roman" w:hAnsi="Times New Roman" w:cs="Times New Roman"/>
          <w:sz w:val="18"/>
          <w:szCs w:val="18"/>
          <w:lang w:eastAsia="es-CO"/>
        </w:rPr>
        <w:t>lamente el 11,1%, lo habla bien</w:t>
      </w:r>
      <w:r w:rsidRPr="004731E2">
        <w:rPr>
          <w:rFonts w:ascii="Times New Roman" w:hAnsi="Times New Roman" w:cs="Times New Roman"/>
          <w:sz w:val="18"/>
          <w:szCs w:val="18"/>
          <w:lang w:eastAsia="es-CO"/>
        </w:rPr>
        <w:t>.</w:t>
      </w:r>
    </w:p>
  </w:footnote>
  <w:footnote w:id="86">
    <w:p w:rsidR="00DE7322" w:rsidRDefault="00DE7322" w:rsidP="007B1649">
      <w:pPr>
        <w:pStyle w:val="Textonotapie"/>
        <w:jc w:val="both"/>
      </w:pPr>
      <w:r>
        <w:rPr>
          <w:rStyle w:val="Refdenotaalpie"/>
        </w:rPr>
        <w:footnoteRef/>
      </w:r>
      <w:r>
        <w:t xml:space="preserve">  Dentro de los objetivos generales del Eje  Uno</w:t>
      </w:r>
      <w:r w:rsidRPr="007B1649">
        <w:t xml:space="preserve">: </w:t>
      </w:r>
      <w:r w:rsidRPr="007B1649">
        <w:rPr>
          <w:rFonts w:eastAsiaTheme="minorHAnsi" w:cs="Helvetica"/>
          <w:bCs/>
          <w:color w:val="000000"/>
          <w:lang w:eastAsia="en-US"/>
        </w:rPr>
        <w:t>Una ciudad que supera la segregación y la discriminación: el ser humano en el centro de las preocupaciones del desarrollo</w:t>
      </w:r>
      <w:r>
        <w:rPr>
          <w:rFonts w:eastAsiaTheme="minorHAnsi" w:cs="Helvetica"/>
          <w:bCs/>
          <w:color w:val="000000"/>
          <w:lang w:eastAsia="en-US"/>
        </w:rPr>
        <w:t xml:space="preserve">, se incluyó en el </w:t>
      </w:r>
      <w:r>
        <w:t xml:space="preserve">Artículo 5.3: </w:t>
      </w:r>
      <w:r>
        <w:rPr>
          <w:rFonts w:eastAsiaTheme="minorHAnsi"/>
          <w:color w:val="000000"/>
          <w:lang w:eastAsia="en-US"/>
        </w:rPr>
        <w:t>Ampliar las capacidades que permitan a la ciudadanía la apropiación de saberes. Estimular la producción y apropiación social de ciencia, tecnología, la creación e innovación para el desarrollo del conocimiento científico, mediante la investigación básica y su aplicación en procesos de innovación social, creativa y productiva que permitan fortalecer las capacidades endógenas de la economía bogotana, que apoyen los proceso de transformación social, la diversificación y el fortalecimiento de la estructura productiva de Bogotá y la región en que está inscrita. Y dentro de las estrategias del eje se estableció en el artículo 6.2: Garantizar el acceso permanente y de calidad a la educación de niños, niñas y jóvenes, para ampliar la cobertura de la educación inicial, extender la jornada en la educación básica y media y articular esta última con la superior, hacia el mejoramiento de las oportunidades de los jóvenes de menores recursos de la ciudad, asegurar el enfoque diferencial para todas los grupos étnicos afrodescendientes, palenqueros raizales, indígenas y Rom. las personas LGBTI, con discapacidad y víctimas del conflicto armado.</w:t>
      </w:r>
    </w:p>
  </w:footnote>
  <w:footnote w:id="87">
    <w:p w:rsidR="00DE7322" w:rsidRPr="006C5926" w:rsidRDefault="00DE7322" w:rsidP="006C5926">
      <w:pPr>
        <w:pStyle w:val="Textonotapie"/>
        <w:jc w:val="both"/>
        <w:rPr>
          <w:sz w:val="18"/>
          <w:szCs w:val="18"/>
        </w:rPr>
      </w:pPr>
      <w:r w:rsidRPr="006C5926">
        <w:rPr>
          <w:rStyle w:val="Refdenotaalpie"/>
          <w:sz w:val="18"/>
          <w:szCs w:val="18"/>
        </w:rPr>
        <w:footnoteRef/>
      </w:r>
      <w:r w:rsidRPr="006C5926">
        <w:rPr>
          <w:sz w:val="18"/>
          <w:szCs w:val="18"/>
        </w:rPr>
        <w:t xml:space="preserve">  C</w:t>
      </w:r>
      <w:r>
        <w:rPr>
          <w:sz w:val="18"/>
          <w:szCs w:val="18"/>
        </w:rPr>
        <w:t>inco en</w:t>
      </w:r>
      <w:r w:rsidRPr="006C5926">
        <w:rPr>
          <w:sz w:val="18"/>
          <w:szCs w:val="18"/>
        </w:rPr>
        <w:t xml:space="preserve"> </w:t>
      </w:r>
      <w:r w:rsidRPr="006C5926">
        <w:rPr>
          <w:rFonts w:eastAsiaTheme="minorHAnsi"/>
          <w:color w:val="000000"/>
          <w:sz w:val="18"/>
          <w:szCs w:val="18"/>
          <w:lang w:eastAsia="en-US"/>
        </w:rPr>
        <w:t xml:space="preserve">el Programa de </w:t>
      </w:r>
      <w:r w:rsidRPr="006C5926">
        <w:rPr>
          <w:rFonts w:eastAsiaTheme="minorHAnsi" w:cs="Helvetica"/>
          <w:bCs/>
          <w:color w:val="000000"/>
          <w:sz w:val="18"/>
          <w:szCs w:val="18"/>
          <w:lang w:eastAsia="en-US"/>
        </w:rPr>
        <w:t xml:space="preserve">Construcción de saberes y una en el </w:t>
      </w:r>
      <w:r w:rsidRPr="006C5926">
        <w:rPr>
          <w:sz w:val="18"/>
          <w:szCs w:val="18"/>
        </w:rPr>
        <w:t>Programa de Atención a la Primera Infancia.</w:t>
      </w:r>
      <w:r w:rsidR="0050702E">
        <w:rPr>
          <w:sz w:val="18"/>
          <w:szCs w:val="18"/>
        </w:rPr>
        <w:t xml:space="preserve"> Véanse en el siguiente cuadro del documento.  </w:t>
      </w:r>
    </w:p>
  </w:footnote>
  <w:footnote w:id="88">
    <w:p w:rsidR="00DE7322" w:rsidRPr="006C5926" w:rsidRDefault="00DE7322" w:rsidP="004731E2">
      <w:pPr>
        <w:pStyle w:val="Textonotapie"/>
        <w:jc w:val="both"/>
        <w:rPr>
          <w:sz w:val="18"/>
          <w:szCs w:val="18"/>
        </w:rPr>
      </w:pPr>
      <w:r w:rsidRPr="006C5926">
        <w:rPr>
          <w:rStyle w:val="Refdenotaalpie"/>
          <w:sz w:val="18"/>
          <w:szCs w:val="18"/>
        </w:rPr>
        <w:footnoteRef/>
      </w:r>
      <w:r w:rsidRPr="006C5926">
        <w:rPr>
          <w:sz w:val="18"/>
          <w:szCs w:val="18"/>
        </w:rPr>
        <w:t xml:space="preserve">  Cuatro en el Programa de Construcción de Saberes y uno en el Programa de Atención a la Primera Infancia.</w:t>
      </w:r>
    </w:p>
  </w:footnote>
  <w:footnote w:id="89">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En esta tabla se incluyen las</w:t>
      </w:r>
      <w:r>
        <w:rPr>
          <w:sz w:val="18"/>
          <w:szCs w:val="18"/>
        </w:rPr>
        <w:t xml:space="preserve"> cinco metas de impacto y las 27</w:t>
      </w:r>
      <w:r w:rsidRPr="004731E2">
        <w:rPr>
          <w:sz w:val="18"/>
          <w:szCs w:val="18"/>
        </w:rPr>
        <w:t xml:space="preserve"> metas de resultado y de gestión del Plan de Desarrollo Distrital aprobado por el Concejo, y algunas metas adicionales, tanto de producto como de insumos. </w:t>
      </w:r>
    </w:p>
  </w:footnote>
  <w:footnote w:id="90">
    <w:p w:rsidR="002179D5" w:rsidRPr="004731E2" w:rsidRDefault="002179D5" w:rsidP="002179D5">
      <w:pPr>
        <w:autoSpaceDE w:val="0"/>
        <w:autoSpaceDN w:val="0"/>
        <w:adjustRightInd w:val="0"/>
        <w:jc w:val="both"/>
        <w:rPr>
          <w:rFonts w:ascii="Times New Roman" w:hAnsi="Times New Roman" w:cs="Times New Roman"/>
          <w:sz w:val="18"/>
          <w:szCs w:val="18"/>
          <w:lang w:val="en-U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lang w:val="en-US"/>
        </w:rPr>
        <w:t xml:space="preserve"> VAN DER GAAG, J. 2002. From child development to human development. En: </w:t>
      </w:r>
      <w:r w:rsidRPr="004731E2">
        <w:rPr>
          <w:rFonts w:ascii="Times New Roman" w:hAnsi="Times New Roman" w:cs="Times New Roman"/>
          <w:i/>
          <w:iCs/>
          <w:sz w:val="18"/>
          <w:szCs w:val="18"/>
          <w:lang w:val="en-US"/>
        </w:rPr>
        <w:t>From Early Child Development to Human Development</w:t>
      </w:r>
      <w:r w:rsidRPr="004731E2">
        <w:rPr>
          <w:rFonts w:ascii="Times New Roman" w:hAnsi="Times New Roman" w:cs="Times New Roman"/>
          <w:sz w:val="18"/>
          <w:szCs w:val="18"/>
          <w:lang w:val="en-US"/>
        </w:rPr>
        <w:t xml:space="preserve">. Editado por Mary E. Young.The World Bank. </w:t>
      </w:r>
    </w:p>
  </w:footnote>
  <w:footnote w:id="91">
    <w:p w:rsidR="002179D5" w:rsidRPr="004731E2" w:rsidRDefault="002179D5" w:rsidP="002179D5">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CONPES 109 de 2007. Pp. 3. </w:t>
      </w:r>
    </w:p>
  </w:footnote>
  <w:footnote w:id="92">
    <w:p w:rsidR="002179D5" w:rsidRPr="004731E2" w:rsidRDefault="002179D5" w:rsidP="002179D5">
      <w:pPr>
        <w:pStyle w:val="Textonotapie"/>
        <w:jc w:val="both"/>
        <w:rPr>
          <w:sz w:val="18"/>
          <w:szCs w:val="18"/>
        </w:rPr>
      </w:pPr>
      <w:r w:rsidRPr="004731E2">
        <w:rPr>
          <w:rStyle w:val="Refdenotaalpie"/>
          <w:sz w:val="18"/>
          <w:szCs w:val="18"/>
        </w:rPr>
        <w:footnoteRef/>
      </w:r>
      <w:r w:rsidRPr="004731E2">
        <w:rPr>
          <w:sz w:val="18"/>
          <w:szCs w:val="18"/>
        </w:rPr>
        <w:t xml:space="preserve"> MARA Susana y otros</w:t>
      </w:r>
      <w:r>
        <w:rPr>
          <w:sz w:val="18"/>
          <w:szCs w:val="18"/>
        </w:rPr>
        <w:t xml:space="preserve"> (2000):</w:t>
      </w:r>
      <w:r w:rsidRPr="004731E2">
        <w:rPr>
          <w:sz w:val="18"/>
          <w:szCs w:val="18"/>
        </w:rPr>
        <w:t xml:space="preserve"> Evaluación de impacto de la educación inicial en el Uruguay. Administración Nacional de Educación Primaria </w:t>
      </w:r>
      <w:r>
        <w:rPr>
          <w:sz w:val="18"/>
          <w:szCs w:val="18"/>
        </w:rPr>
        <w:t>MECAEP/ANEP/BIRF/Montevideo</w:t>
      </w:r>
      <w:r w:rsidRPr="004731E2">
        <w:rPr>
          <w:sz w:val="18"/>
          <w:szCs w:val="18"/>
        </w:rPr>
        <w:t>.</w:t>
      </w:r>
    </w:p>
  </w:footnote>
  <w:footnote w:id="93">
    <w:p w:rsidR="002179D5" w:rsidRPr="004731E2" w:rsidRDefault="002179D5" w:rsidP="002179D5">
      <w:pPr>
        <w:pStyle w:val="Textonotapie"/>
        <w:jc w:val="both"/>
        <w:rPr>
          <w:sz w:val="18"/>
          <w:szCs w:val="18"/>
        </w:rPr>
      </w:pPr>
      <w:r w:rsidRPr="004731E2">
        <w:rPr>
          <w:rStyle w:val="Refdenotaalpie"/>
          <w:sz w:val="18"/>
          <w:szCs w:val="18"/>
        </w:rPr>
        <w:footnoteRef/>
      </w:r>
      <w:r w:rsidRPr="004731E2">
        <w:rPr>
          <w:sz w:val="18"/>
          <w:szCs w:val="18"/>
        </w:rPr>
        <w:t xml:space="preserve"> CUETO, Santiago; DIAZ, Juan José</w:t>
      </w:r>
      <w:r>
        <w:rPr>
          <w:sz w:val="18"/>
          <w:szCs w:val="18"/>
        </w:rPr>
        <w:t xml:space="preserve"> (1999):</w:t>
      </w:r>
      <w:r w:rsidRPr="004731E2">
        <w:rPr>
          <w:sz w:val="18"/>
          <w:szCs w:val="18"/>
        </w:rPr>
        <w:t xml:space="preserve"> "Impacto de la educación inicial en el rendimiento en primer grado de primaria en escuelas públicas urbanas de Lima". Revista d</w:t>
      </w:r>
      <w:r>
        <w:rPr>
          <w:sz w:val="18"/>
          <w:szCs w:val="18"/>
        </w:rPr>
        <w:t>e psicología, 17(1): 74-91.</w:t>
      </w:r>
    </w:p>
  </w:footnote>
  <w:footnote w:id="94">
    <w:p w:rsidR="0096759B" w:rsidRPr="004731E2" w:rsidRDefault="0096759B" w:rsidP="0096759B">
      <w:pPr>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ORGANIZACIÓN DE ESTADOS IBEROAMERICANOS PARA LA EDUCACIÓN, LA CIENCIA Y LA CULTURA - OEI (2010): Metas educativas 2021. La educación que queremos para la generación de los bicentenarios. Pp. 96. </w:t>
      </w:r>
    </w:p>
  </w:footnote>
  <w:footnote w:id="95">
    <w:p w:rsidR="00DE7322" w:rsidRPr="004731E2" w:rsidRDefault="00DE7322" w:rsidP="00E25949">
      <w:pPr>
        <w:pStyle w:val="Textonotapie"/>
        <w:rPr>
          <w:sz w:val="18"/>
          <w:szCs w:val="18"/>
        </w:rPr>
      </w:pPr>
      <w:r w:rsidRPr="004731E2">
        <w:rPr>
          <w:rStyle w:val="Refdenotaalpie"/>
          <w:sz w:val="18"/>
          <w:szCs w:val="18"/>
        </w:rPr>
        <w:footnoteRef/>
      </w:r>
      <w:r w:rsidRPr="004731E2">
        <w:rPr>
          <w:sz w:val="18"/>
          <w:szCs w:val="18"/>
        </w:rPr>
        <w:t xml:space="preserve">  SEGPLAN es un sistema de control y seguimiento al Plan de Desarrollo en la planeación de la inversión y del gasto público, administrado por la Secretaría Distrital de Planeación.</w:t>
      </w:r>
    </w:p>
  </w:footnote>
  <w:footnote w:id="96">
    <w:p w:rsidR="00DE7322" w:rsidRPr="004731E2" w:rsidRDefault="00DE7322" w:rsidP="00E25949">
      <w:pPr>
        <w:widowControl w:val="0"/>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Corresponde a las Direcciones Locales de Educación, según el Decreto 330 de 2008, Artículo 13H,  Coordinar con el nivel central la territorialización de los programas y proyectos del Plan Sectorial de Educación.</w:t>
      </w:r>
    </w:p>
  </w:footnote>
  <w:footnote w:id="97">
    <w:p w:rsidR="00DE7322" w:rsidRPr="004731E2" w:rsidRDefault="00DE7322" w:rsidP="00E25949">
      <w:pPr>
        <w:pStyle w:val="Textonotapie"/>
        <w:jc w:val="both"/>
        <w:rPr>
          <w:sz w:val="18"/>
          <w:szCs w:val="18"/>
        </w:rPr>
      </w:pPr>
      <w:r w:rsidRPr="004731E2">
        <w:rPr>
          <w:rStyle w:val="Refdenotaalpie"/>
          <w:sz w:val="18"/>
          <w:szCs w:val="18"/>
        </w:rPr>
        <w:footnoteRef/>
      </w:r>
      <w:r w:rsidRPr="004731E2">
        <w:rPr>
          <w:sz w:val="18"/>
          <w:szCs w:val="18"/>
        </w:rPr>
        <w:t xml:space="preserve">  “</w:t>
      </w:r>
      <w:r w:rsidRPr="004731E2">
        <w:rPr>
          <w:rFonts w:eastAsiaTheme="minorHAnsi"/>
          <w:color w:val="000000"/>
          <w:sz w:val="18"/>
          <w:szCs w:val="18"/>
          <w:lang w:eastAsia="en-US"/>
        </w:rPr>
        <w:t>El Plan Educativo Local – PEL es una propuesta de gestión democrática y participativa que permite planificar de manera concertada el sistema educativo en el ámbito local. Su propósito es la definición de objetivos de corto, mediano y largo plazo para la gestión educativa de las localidades del Distrito, así como el establecimiento de líneas educativas de inversión que orienten los recursos presupuestales del nivel central y local de la ciudad y permitan la gestión de recursos privados en el desarrollo de la política educativa de la localidad. (p.4)” Secretaría de Educación del Distrito, Equipo de Planeación Participativa, Metodología para el diseño, formulación y gestión de planes educativos locales, 2010, documento en PDF.</w:t>
      </w:r>
    </w:p>
  </w:footnote>
  <w:footnote w:id="98">
    <w:p w:rsidR="00DE7322" w:rsidRPr="004731E2" w:rsidRDefault="00DE7322" w:rsidP="00E25949">
      <w:pPr>
        <w:widowControl w:val="0"/>
        <w:autoSpaceDE w:val="0"/>
        <w:autoSpaceDN w:val="0"/>
        <w:adjustRightInd w:val="0"/>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Las direcciones locales de educación son creadas en el artículo 13 del Decreto 330 de 2008 donde se establecen sus funciones, una de las cuales es H. Coordinar con el nivel central la territorialización de los programas y proyectos del Plan Sectorial de Educación.</w:t>
      </w:r>
    </w:p>
  </w:footnote>
  <w:footnote w:id="99">
    <w:p w:rsidR="00DE7322" w:rsidRPr="004731E2" w:rsidRDefault="00DE7322" w:rsidP="00E25949">
      <w:pPr>
        <w:pStyle w:val="Textonotapie"/>
        <w:jc w:val="both"/>
        <w:rPr>
          <w:sz w:val="18"/>
          <w:szCs w:val="18"/>
        </w:rPr>
      </w:pPr>
      <w:r w:rsidRPr="004731E2">
        <w:rPr>
          <w:rStyle w:val="Refdenotaalpie"/>
          <w:sz w:val="18"/>
          <w:szCs w:val="18"/>
        </w:rPr>
        <w:footnoteRef/>
      </w:r>
      <w:r w:rsidRPr="004731E2">
        <w:rPr>
          <w:sz w:val="18"/>
          <w:szCs w:val="18"/>
        </w:rPr>
        <w:t xml:space="preserve"> Resolución 174 de 2010 de la Secretaría de Educación, Artículo 1º: Establecer el Plan Operativo Anual (POA) en los niveles central, local e institucional de la Secretaría de Educación del Distrito como la herramienta fundamental para planear y programar las actividades estratégicas de cada vigencia necesarias para el cumplimiento de la política y de los objetivos establecidos en el Plan de Desarrollo, el Plan Sectorial de Educación, el Plan Educativo Local y el Proyecto Educativo Institucional.</w:t>
      </w:r>
    </w:p>
  </w:footnote>
  <w:footnote w:id="100">
    <w:p w:rsidR="00DE7322" w:rsidRPr="004731E2" w:rsidRDefault="00DE7322" w:rsidP="00E259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color w:val="000000"/>
          <w:sz w:val="18"/>
          <w:szCs w:val="18"/>
          <w:lang w:eastAsia="en-US"/>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w:t>
      </w:r>
      <w:r w:rsidRPr="004731E2">
        <w:rPr>
          <w:rFonts w:ascii="Times New Roman" w:eastAsiaTheme="minorHAnsi" w:hAnsi="Times New Roman" w:cs="Times New Roman"/>
          <w:color w:val="000000"/>
          <w:sz w:val="18"/>
          <w:szCs w:val="18"/>
          <w:lang w:eastAsia="en-US"/>
        </w:rPr>
        <w:t>El objetivo primordial del plan de mejoramiento es promover que los procesos internos se desarrollen en forma eficiente a través de la adopción y ejecución de acciones y metodologías orientadas al mejoramiento continuo. En coherencia con el Sistema Integrado de Gestión, la definición del plan de mejoramiento se debe realizar a partir de: Los objetivos definidos, la aprobación por la autoridad competente, la asignación de los recursos necesarios para la realización de los planes, la definición del nivel de responsabilidad, el seguimiento a las acciones planteadas, la fijación de las fechas límites de la implementación, la determinación de los indicadores de logros, el seguimiento a las mejoras, con lo cual se establecen las especificaciones de satisfacción y confiabilidad</w:t>
      </w:r>
    </w:p>
  </w:footnote>
  <w:footnote w:id="101">
    <w:p w:rsidR="00DE7322" w:rsidRPr="004731E2" w:rsidRDefault="00DE7322" w:rsidP="00E25949">
      <w:pPr>
        <w:pStyle w:val="Textonotapie"/>
        <w:jc w:val="both"/>
        <w:rPr>
          <w:sz w:val="18"/>
          <w:szCs w:val="18"/>
        </w:rPr>
      </w:pPr>
      <w:r w:rsidRPr="004731E2">
        <w:rPr>
          <w:rStyle w:val="Refdenotaalpie"/>
          <w:sz w:val="18"/>
          <w:szCs w:val="18"/>
        </w:rPr>
        <w:footnoteRef/>
      </w:r>
      <w:r w:rsidRPr="004731E2">
        <w:rPr>
          <w:sz w:val="18"/>
          <w:szCs w:val="18"/>
        </w:rPr>
        <w:t xml:space="preserve"> Resolución 174 de 2010 de la Secretaría de Educación, Artículo 1º: Establecer el Plan Operativo Anual (POA) en los niveles central, local e institucional de la Secretaría de Educación del Distrito como la herramienta fundamental para planear y programar las actividades estratégicas de cada vigencia necesarias para el cumplimiento de la política y de los objetivos establecidos en el Plan de Desarrollo, el Plan Sectorial de Educación, el Plan Educativo Local y el Proyecto Educativo Institucional.</w:t>
      </w:r>
    </w:p>
  </w:footnote>
  <w:footnote w:id="102">
    <w:p w:rsidR="00DE7322" w:rsidRPr="004731E2" w:rsidRDefault="00DE7322" w:rsidP="00E25949">
      <w:pPr>
        <w:jc w:val="both"/>
        <w:rPr>
          <w:rFonts w:ascii="Times New Roman" w:hAnsi="Times New Roman" w:cs="Times New Roman"/>
          <w:sz w:val="18"/>
          <w:szCs w:val="18"/>
        </w:rPr>
      </w:pPr>
      <w:r w:rsidRPr="004731E2">
        <w:rPr>
          <w:rStyle w:val="Refdenotaalpie"/>
          <w:rFonts w:ascii="Times New Roman" w:hAnsi="Times New Roman" w:cs="Times New Roman"/>
          <w:sz w:val="18"/>
          <w:szCs w:val="18"/>
        </w:rPr>
        <w:footnoteRef/>
      </w:r>
      <w:r w:rsidRPr="004731E2">
        <w:rPr>
          <w:rFonts w:ascii="Times New Roman" w:hAnsi="Times New Roman" w:cs="Times New Roman"/>
          <w:sz w:val="18"/>
          <w:szCs w:val="18"/>
        </w:rPr>
        <w:t xml:space="preserve">  SED, </w:t>
      </w:r>
      <w:r w:rsidRPr="004731E2">
        <w:rPr>
          <w:rFonts w:ascii="Times New Roman" w:eastAsiaTheme="minorHAnsi" w:hAnsi="Times New Roman" w:cs="Times New Roman"/>
          <w:color w:val="000000"/>
          <w:sz w:val="18"/>
          <w:szCs w:val="18"/>
          <w:lang w:eastAsia="en-US"/>
        </w:rPr>
        <w:t>Documento de Diagnóstico de la Localidad de Usaquén, pp. 85-86,</w:t>
      </w:r>
    </w:p>
    <w:p w:rsidR="00DE7322" w:rsidRPr="004731E2" w:rsidRDefault="00DE7322" w:rsidP="00E25949">
      <w:pPr>
        <w:pStyle w:val="Textonotapie"/>
        <w:rPr>
          <w:sz w:val="18"/>
          <w:szCs w:val="18"/>
        </w:rPr>
      </w:pPr>
    </w:p>
  </w:footnote>
  <w:footnote w:id="103">
    <w:p w:rsidR="00DE7322" w:rsidRPr="004731E2" w:rsidRDefault="00DE7322" w:rsidP="004731E2">
      <w:pPr>
        <w:pStyle w:val="Textonotapie"/>
        <w:rPr>
          <w:sz w:val="18"/>
          <w:szCs w:val="18"/>
        </w:rPr>
      </w:pPr>
      <w:r w:rsidRPr="004731E2">
        <w:rPr>
          <w:rStyle w:val="Refdenotaalpie"/>
          <w:sz w:val="18"/>
          <w:szCs w:val="18"/>
        </w:rPr>
        <w:footnoteRef/>
      </w:r>
      <w:r w:rsidRPr="004731E2">
        <w:rPr>
          <w:sz w:val="18"/>
          <w:szCs w:val="18"/>
        </w:rPr>
        <w:t xml:space="preserve">  Su funciones generales las establece el Acuerdo 26 de 1994 y la estructura y funciones detalladas de sus dependencias se encuentran en la Resolución 001 de la Junta Directiva del Instituto.</w:t>
      </w:r>
    </w:p>
  </w:footnote>
  <w:footnote w:id="104">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w:t>
      </w:r>
      <w:r w:rsidRPr="004731E2">
        <w:rPr>
          <w:rFonts w:eastAsia="Cambria"/>
          <w:sz w:val="18"/>
          <w:szCs w:val="18"/>
        </w:rPr>
        <w:t>La Universidad Distrital Francisco José de Caldas, creada mediante acuerdo No.10 de 1948 por el Concejo de Bogota es un ente universitario autónomo de carácter estatal del orden DISTRITAL de Santa Fe de Bogota D.C., con personería jurídica, gobierno, rentas y patrimonio propio e independiente, constituido totalmente con bienes o fondos públicos comunes o por el producto de impuestos, tasas o contribuciones y venta de servicios.</w:t>
      </w:r>
    </w:p>
  </w:footnote>
  <w:footnote w:id="105">
    <w:p w:rsidR="00DE7322" w:rsidRPr="004731E2" w:rsidRDefault="00DE7322" w:rsidP="004731E2">
      <w:pPr>
        <w:pStyle w:val="Textonotapie"/>
        <w:jc w:val="both"/>
        <w:rPr>
          <w:sz w:val="18"/>
          <w:szCs w:val="18"/>
        </w:rPr>
      </w:pPr>
      <w:r w:rsidRPr="004731E2">
        <w:rPr>
          <w:rStyle w:val="Refdenotaalpie"/>
          <w:sz w:val="18"/>
          <w:szCs w:val="18"/>
        </w:rPr>
        <w:footnoteRef/>
      </w:r>
      <w:r w:rsidRPr="004731E2">
        <w:rPr>
          <w:sz w:val="18"/>
          <w:szCs w:val="18"/>
        </w:rPr>
        <w:t xml:space="preserve"> Fuente: Oficina Asesora de Planeación y Control</w:t>
      </w:r>
      <w:r>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22" w:rsidRPr="00CE467B" w:rsidRDefault="00DE7322" w:rsidP="00CE467B">
    <w:pPr>
      <w:pStyle w:val="Encabezado"/>
      <w:jc w:val="center"/>
      <w:rPr>
        <w:sz w:val="18"/>
        <w:u w:val="single"/>
      </w:rPr>
    </w:pPr>
    <w:r w:rsidRPr="00CE467B">
      <w:rPr>
        <w:sz w:val="18"/>
        <w:u w:val="single"/>
      </w:rPr>
      <w:t>Secretaría de Educación del Distrito</w:t>
    </w:r>
  </w:p>
  <w:p w:rsidR="00DE7322" w:rsidRDefault="00DE7322" w:rsidP="00CE467B">
    <w:pPr>
      <w:pStyle w:val="Encabezado"/>
      <w:jc w:val="center"/>
      <w:rPr>
        <w:sz w:val="18"/>
        <w:u w:val="single"/>
      </w:rPr>
    </w:pPr>
    <w:r w:rsidRPr="00CE467B">
      <w:rPr>
        <w:sz w:val="18"/>
        <w:u w:val="single"/>
      </w:rPr>
      <w:t xml:space="preserve">Plan Sectorial </w:t>
    </w:r>
    <w:r>
      <w:rPr>
        <w:sz w:val="18"/>
        <w:u w:val="single"/>
      </w:rPr>
      <w:t>de Educación 2012-2016</w:t>
    </w:r>
  </w:p>
  <w:p w:rsidR="00DE7322" w:rsidRPr="00CE467B" w:rsidRDefault="00DE7322" w:rsidP="00CE467B">
    <w:pPr>
      <w:pStyle w:val="Encabezado"/>
      <w:jc w:val="center"/>
      <w:rPr>
        <w:sz w:val="18"/>
        <w:u w:val="single"/>
      </w:rPr>
    </w:pPr>
  </w:p>
  <w:p w:rsidR="00DE7322" w:rsidRDefault="00DE732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22" w:rsidRPr="00F54F31" w:rsidRDefault="00DE7322" w:rsidP="00F54F31">
    <w:pPr>
      <w:pStyle w:val="Encabezado"/>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62EBB"/>
    <w:multiLevelType w:val="hybridMultilevel"/>
    <w:tmpl w:val="8E46A4A0"/>
    <w:lvl w:ilvl="0" w:tplc="802485D4">
      <w:start w:val="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6B0D70"/>
    <w:multiLevelType w:val="hybridMultilevel"/>
    <w:tmpl w:val="B13C0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AB7FC9"/>
    <w:multiLevelType w:val="multilevel"/>
    <w:tmpl w:val="8E1C3A68"/>
    <w:lvl w:ilvl="0">
      <w:start w:val="1"/>
      <w:numFmt w:val="upperRoman"/>
      <w:pStyle w:val="Paragraph"/>
      <w:lvlText w:val="%1."/>
      <w:lvlJc w:val="center"/>
      <w:pPr>
        <w:tabs>
          <w:tab w:val="num" w:pos="648"/>
        </w:tabs>
        <w:ind w:firstLine="288"/>
      </w:pPr>
      <w:rPr>
        <w:rFonts w:cs="Times New Roman" w:hint="default"/>
        <w:b/>
        <w:i w:val="0"/>
      </w:rPr>
    </w:lvl>
    <w:lvl w:ilvl="1">
      <w:start w:val="1"/>
      <w:numFmt w:val="decimal"/>
      <w:pStyle w:val="Sangradetextonormal"/>
      <w:isLgl/>
      <w:lvlText w:val="%1.%2"/>
      <w:lvlJc w:val="left"/>
      <w:pPr>
        <w:tabs>
          <w:tab w:val="num" w:pos="720"/>
        </w:tabs>
        <w:ind w:left="720" w:hanging="72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152"/>
        </w:tabs>
        <w:ind w:left="1152" w:hanging="432"/>
      </w:pPr>
      <w:rPr>
        <w:rFonts w:cs="Times New Roman" w:hint="default"/>
      </w:rPr>
    </w:lvl>
    <w:lvl w:ilvl="3">
      <w:start w:val="1"/>
      <w:numFmt w:val="lowerRoman"/>
      <w:lvlText w:val="%4."/>
      <w:lvlJc w:val="right"/>
      <w:pPr>
        <w:tabs>
          <w:tab w:val="num" w:pos="1584"/>
        </w:tabs>
        <w:ind w:left="1584" w:hanging="288"/>
      </w:pPr>
      <w:rPr>
        <w:rFonts w:cs="Times New Roman" w:hint="default"/>
      </w:rPr>
    </w:lvl>
    <w:lvl w:ilvl="4">
      <w:start w:val="1"/>
      <w:numFmt w:val="none"/>
      <w:lvlText w:val=""/>
      <w:lvlJc w:val="left"/>
      <w:pPr>
        <w:tabs>
          <w:tab w:val="num" w:pos="3240"/>
        </w:tabs>
        <w:ind w:left="2880"/>
      </w:pPr>
      <w:rPr>
        <w:rFonts w:cs="Times New Roman" w:hint="default"/>
      </w:rPr>
    </w:lvl>
    <w:lvl w:ilvl="5">
      <w:start w:val="1"/>
      <w:numFmt w:val="none"/>
      <w:lvlText w:val=""/>
      <w:lvlJc w:val="left"/>
      <w:pPr>
        <w:tabs>
          <w:tab w:val="num" w:pos="3960"/>
        </w:tabs>
        <w:ind w:left="3600"/>
      </w:pPr>
      <w:rPr>
        <w:rFonts w:cs="Times New Roman" w:hint="default"/>
      </w:rPr>
    </w:lvl>
    <w:lvl w:ilvl="6">
      <w:start w:val="1"/>
      <w:numFmt w:val="none"/>
      <w:lvlText w:val=""/>
      <w:lvlJc w:val="left"/>
      <w:pPr>
        <w:tabs>
          <w:tab w:val="num" w:pos="4680"/>
        </w:tabs>
        <w:ind w:left="4320"/>
      </w:pPr>
      <w:rPr>
        <w:rFonts w:cs="Times New Roman" w:hint="default"/>
      </w:rPr>
    </w:lvl>
    <w:lvl w:ilvl="7">
      <w:start w:val="1"/>
      <w:numFmt w:val="none"/>
      <w:lvlText w:val=""/>
      <w:lvlJc w:val="left"/>
      <w:pPr>
        <w:tabs>
          <w:tab w:val="num" w:pos="5400"/>
        </w:tabs>
        <w:ind w:left="5040"/>
      </w:pPr>
      <w:rPr>
        <w:rFonts w:cs="Times New Roman" w:hint="default"/>
      </w:rPr>
    </w:lvl>
    <w:lvl w:ilvl="8">
      <w:start w:val="1"/>
      <w:numFmt w:val="none"/>
      <w:lvlText w:val=""/>
      <w:lvlJc w:val="left"/>
      <w:pPr>
        <w:tabs>
          <w:tab w:val="num" w:pos="6120"/>
        </w:tabs>
        <w:ind w:left="5760"/>
      </w:pPr>
      <w:rPr>
        <w:rFonts w:cs="Times New Roman" w:hint="default"/>
      </w:rPr>
    </w:lvl>
  </w:abstractNum>
  <w:abstractNum w:abstractNumId="3">
    <w:nsid w:val="101F2527"/>
    <w:multiLevelType w:val="hybridMultilevel"/>
    <w:tmpl w:val="81341DA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32C3E9D"/>
    <w:multiLevelType w:val="hybridMultilevel"/>
    <w:tmpl w:val="9E406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D5516B"/>
    <w:multiLevelType w:val="hybridMultilevel"/>
    <w:tmpl w:val="DCDEE9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5D09F4"/>
    <w:multiLevelType w:val="hybridMultilevel"/>
    <w:tmpl w:val="FD64AF7E"/>
    <w:lvl w:ilvl="0" w:tplc="E1A2B23E">
      <w:start w:val="1"/>
      <w:numFmt w:val="bullet"/>
      <w:lvlText w:val="o"/>
      <w:lvlJc w:val="left"/>
      <w:pPr>
        <w:tabs>
          <w:tab w:val="num" w:pos="720"/>
        </w:tabs>
        <w:ind w:left="720" w:hanging="360"/>
      </w:pPr>
      <w:rPr>
        <w:rFonts w:ascii="Courier New" w:hAnsi="Courier New" w:hint="default"/>
      </w:rPr>
    </w:lvl>
    <w:lvl w:ilvl="1" w:tplc="8348D7F8" w:tentative="1">
      <w:start w:val="1"/>
      <w:numFmt w:val="bullet"/>
      <w:lvlText w:val="o"/>
      <w:lvlJc w:val="left"/>
      <w:pPr>
        <w:tabs>
          <w:tab w:val="num" w:pos="1440"/>
        </w:tabs>
        <w:ind w:left="1440" w:hanging="360"/>
      </w:pPr>
      <w:rPr>
        <w:rFonts w:ascii="Courier New" w:hAnsi="Courier New" w:hint="default"/>
      </w:rPr>
    </w:lvl>
    <w:lvl w:ilvl="2" w:tplc="CCAED746" w:tentative="1">
      <w:start w:val="1"/>
      <w:numFmt w:val="bullet"/>
      <w:lvlText w:val="o"/>
      <w:lvlJc w:val="left"/>
      <w:pPr>
        <w:tabs>
          <w:tab w:val="num" w:pos="2160"/>
        </w:tabs>
        <w:ind w:left="2160" w:hanging="360"/>
      </w:pPr>
      <w:rPr>
        <w:rFonts w:ascii="Courier New" w:hAnsi="Courier New" w:hint="default"/>
      </w:rPr>
    </w:lvl>
    <w:lvl w:ilvl="3" w:tplc="282A1CC2" w:tentative="1">
      <w:start w:val="1"/>
      <w:numFmt w:val="bullet"/>
      <w:lvlText w:val="o"/>
      <w:lvlJc w:val="left"/>
      <w:pPr>
        <w:tabs>
          <w:tab w:val="num" w:pos="2880"/>
        </w:tabs>
        <w:ind w:left="2880" w:hanging="360"/>
      </w:pPr>
      <w:rPr>
        <w:rFonts w:ascii="Courier New" w:hAnsi="Courier New" w:hint="default"/>
      </w:rPr>
    </w:lvl>
    <w:lvl w:ilvl="4" w:tplc="84787AC4" w:tentative="1">
      <w:start w:val="1"/>
      <w:numFmt w:val="bullet"/>
      <w:lvlText w:val="o"/>
      <w:lvlJc w:val="left"/>
      <w:pPr>
        <w:tabs>
          <w:tab w:val="num" w:pos="3600"/>
        </w:tabs>
        <w:ind w:left="3600" w:hanging="360"/>
      </w:pPr>
      <w:rPr>
        <w:rFonts w:ascii="Courier New" w:hAnsi="Courier New" w:hint="default"/>
      </w:rPr>
    </w:lvl>
    <w:lvl w:ilvl="5" w:tplc="3F806F2C" w:tentative="1">
      <w:start w:val="1"/>
      <w:numFmt w:val="bullet"/>
      <w:lvlText w:val="o"/>
      <w:lvlJc w:val="left"/>
      <w:pPr>
        <w:tabs>
          <w:tab w:val="num" w:pos="4320"/>
        </w:tabs>
        <w:ind w:left="4320" w:hanging="360"/>
      </w:pPr>
      <w:rPr>
        <w:rFonts w:ascii="Courier New" w:hAnsi="Courier New" w:hint="default"/>
      </w:rPr>
    </w:lvl>
    <w:lvl w:ilvl="6" w:tplc="6142A404" w:tentative="1">
      <w:start w:val="1"/>
      <w:numFmt w:val="bullet"/>
      <w:lvlText w:val="o"/>
      <w:lvlJc w:val="left"/>
      <w:pPr>
        <w:tabs>
          <w:tab w:val="num" w:pos="5040"/>
        </w:tabs>
        <w:ind w:left="5040" w:hanging="360"/>
      </w:pPr>
      <w:rPr>
        <w:rFonts w:ascii="Courier New" w:hAnsi="Courier New" w:hint="default"/>
      </w:rPr>
    </w:lvl>
    <w:lvl w:ilvl="7" w:tplc="BE30F1A4" w:tentative="1">
      <w:start w:val="1"/>
      <w:numFmt w:val="bullet"/>
      <w:lvlText w:val="o"/>
      <w:lvlJc w:val="left"/>
      <w:pPr>
        <w:tabs>
          <w:tab w:val="num" w:pos="5760"/>
        </w:tabs>
        <w:ind w:left="5760" w:hanging="360"/>
      </w:pPr>
      <w:rPr>
        <w:rFonts w:ascii="Courier New" w:hAnsi="Courier New" w:hint="default"/>
      </w:rPr>
    </w:lvl>
    <w:lvl w:ilvl="8" w:tplc="DC80B050" w:tentative="1">
      <w:start w:val="1"/>
      <w:numFmt w:val="bullet"/>
      <w:lvlText w:val="o"/>
      <w:lvlJc w:val="left"/>
      <w:pPr>
        <w:tabs>
          <w:tab w:val="num" w:pos="6480"/>
        </w:tabs>
        <w:ind w:left="6480" w:hanging="360"/>
      </w:pPr>
      <w:rPr>
        <w:rFonts w:ascii="Courier New" w:hAnsi="Courier New" w:hint="default"/>
      </w:rPr>
    </w:lvl>
  </w:abstractNum>
  <w:abstractNum w:abstractNumId="7">
    <w:nsid w:val="1BE9646D"/>
    <w:multiLevelType w:val="hybridMultilevel"/>
    <w:tmpl w:val="F5AA23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C5B072F"/>
    <w:multiLevelType w:val="hybridMultilevel"/>
    <w:tmpl w:val="A93CEA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E82258"/>
    <w:multiLevelType w:val="hybridMultilevel"/>
    <w:tmpl w:val="1C380CC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571260F"/>
    <w:multiLevelType w:val="hybridMultilevel"/>
    <w:tmpl w:val="9D902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89509A1"/>
    <w:multiLevelType w:val="hybridMultilevel"/>
    <w:tmpl w:val="4364D5C6"/>
    <w:lvl w:ilvl="0" w:tplc="91723F4C">
      <w:start w:val="1"/>
      <w:numFmt w:val="lowerRoman"/>
      <w:lvlText w:val="%1."/>
      <w:lvlJc w:val="right"/>
      <w:pPr>
        <w:tabs>
          <w:tab w:val="num" w:pos="720"/>
        </w:tabs>
        <w:ind w:left="720" w:hanging="360"/>
      </w:pPr>
    </w:lvl>
    <w:lvl w:ilvl="1" w:tplc="961C5B2E" w:tentative="1">
      <w:start w:val="1"/>
      <w:numFmt w:val="lowerRoman"/>
      <w:lvlText w:val="%2."/>
      <w:lvlJc w:val="right"/>
      <w:pPr>
        <w:tabs>
          <w:tab w:val="num" w:pos="1440"/>
        </w:tabs>
        <w:ind w:left="1440" w:hanging="360"/>
      </w:pPr>
    </w:lvl>
    <w:lvl w:ilvl="2" w:tplc="48486C08" w:tentative="1">
      <w:start w:val="1"/>
      <w:numFmt w:val="lowerRoman"/>
      <w:lvlText w:val="%3."/>
      <w:lvlJc w:val="right"/>
      <w:pPr>
        <w:tabs>
          <w:tab w:val="num" w:pos="2160"/>
        </w:tabs>
        <w:ind w:left="2160" w:hanging="360"/>
      </w:pPr>
    </w:lvl>
    <w:lvl w:ilvl="3" w:tplc="F7F87A1A" w:tentative="1">
      <w:start w:val="1"/>
      <w:numFmt w:val="lowerRoman"/>
      <w:lvlText w:val="%4."/>
      <w:lvlJc w:val="right"/>
      <w:pPr>
        <w:tabs>
          <w:tab w:val="num" w:pos="2880"/>
        </w:tabs>
        <w:ind w:left="2880" w:hanging="360"/>
      </w:pPr>
    </w:lvl>
    <w:lvl w:ilvl="4" w:tplc="CE180890" w:tentative="1">
      <w:start w:val="1"/>
      <w:numFmt w:val="lowerRoman"/>
      <w:lvlText w:val="%5."/>
      <w:lvlJc w:val="right"/>
      <w:pPr>
        <w:tabs>
          <w:tab w:val="num" w:pos="3600"/>
        </w:tabs>
        <w:ind w:left="3600" w:hanging="360"/>
      </w:pPr>
    </w:lvl>
    <w:lvl w:ilvl="5" w:tplc="C70A8656" w:tentative="1">
      <w:start w:val="1"/>
      <w:numFmt w:val="lowerRoman"/>
      <w:lvlText w:val="%6."/>
      <w:lvlJc w:val="right"/>
      <w:pPr>
        <w:tabs>
          <w:tab w:val="num" w:pos="4320"/>
        </w:tabs>
        <w:ind w:left="4320" w:hanging="360"/>
      </w:pPr>
    </w:lvl>
    <w:lvl w:ilvl="6" w:tplc="38DCCE00" w:tentative="1">
      <w:start w:val="1"/>
      <w:numFmt w:val="lowerRoman"/>
      <w:lvlText w:val="%7."/>
      <w:lvlJc w:val="right"/>
      <w:pPr>
        <w:tabs>
          <w:tab w:val="num" w:pos="5040"/>
        </w:tabs>
        <w:ind w:left="5040" w:hanging="360"/>
      </w:pPr>
    </w:lvl>
    <w:lvl w:ilvl="7" w:tplc="819A86EA" w:tentative="1">
      <w:start w:val="1"/>
      <w:numFmt w:val="lowerRoman"/>
      <w:lvlText w:val="%8."/>
      <w:lvlJc w:val="right"/>
      <w:pPr>
        <w:tabs>
          <w:tab w:val="num" w:pos="5760"/>
        </w:tabs>
        <w:ind w:left="5760" w:hanging="360"/>
      </w:pPr>
    </w:lvl>
    <w:lvl w:ilvl="8" w:tplc="6728EB18" w:tentative="1">
      <w:start w:val="1"/>
      <w:numFmt w:val="lowerRoman"/>
      <w:lvlText w:val="%9."/>
      <w:lvlJc w:val="right"/>
      <w:pPr>
        <w:tabs>
          <w:tab w:val="num" w:pos="6480"/>
        </w:tabs>
        <w:ind w:left="6480" w:hanging="360"/>
      </w:pPr>
    </w:lvl>
  </w:abstractNum>
  <w:abstractNum w:abstractNumId="12">
    <w:nsid w:val="2D82217C"/>
    <w:multiLevelType w:val="hybridMultilevel"/>
    <w:tmpl w:val="DCF40020"/>
    <w:lvl w:ilvl="0" w:tplc="15781AC2">
      <w:start w:val="2"/>
      <w:numFmt w:val="bullet"/>
      <w:lvlText w:val="-"/>
      <w:lvlJc w:val="left"/>
      <w:pPr>
        <w:ind w:left="720" w:hanging="360"/>
      </w:pPr>
      <w:rPr>
        <w:rFonts w:ascii="Arial" w:eastAsiaTheme="minorHAnsi" w:hAnsi="Arial" w:cstheme="minorBid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32CF6246"/>
    <w:multiLevelType w:val="hybridMultilevel"/>
    <w:tmpl w:val="CE4A65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Symbo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Symbol"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61332C5"/>
    <w:multiLevelType w:val="hybridMultilevel"/>
    <w:tmpl w:val="62E69650"/>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ADC52A5"/>
    <w:multiLevelType w:val="hybridMultilevel"/>
    <w:tmpl w:val="AA90F2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Aria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Arial"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48620B84"/>
    <w:multiLevelType w:val="hybridMultilevel"/>
    <w:tmpl w:val="DB0A96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B983E68"/>
    <w:multiLevelType w:val="hybridMultilevel"/>
    <w:tmpl w:val="D7C88E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DA335C2"/>
    <w:multiLevelType w:val="hybridMultilevel"/>
    <w:tmpl w:val="429A9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574207"/>
    <w:multiLevelType w:val="hybridMultilevel"/>
    <w:tmpl w:val="35CAF8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52250DED"/>
    <w:multiLevelType w:val="hybridMultilevel"/>
    <w:tmpl w:val="68FCF9C4"/>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3B9233C"/>
    <w:multiLevelType w:val="multilevel"/>
    <w:tmpl w:val="C756D82E"/>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4115B6A"/>
    <w:multiLevelType w:val="hybridMultilevel"/>
    <w:tmpl w:val="6576C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42C5778"/>
    <w:multiLevelType w:val="hybridMultilevel"/>
    <w:tmpl w:val="B5E47712"/>
    <w:lvl w:ilvl="0" w:tplc="09F0916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6A46DC7"/>
    <w:multiLevelType w:val="hybridMultilevel"/>
    <w:tmpl w:val="158E35D0"/>
    <w:lvl w:ilvl="0" w:tplc="58507020">
      <w:start w:val="1"/>
      <w:numFmt w:val="bullet"/>
      <w:lvlText w:val="-"/>
      <w:lvlJc w:val="left"/>
      <w:pPr>
        <w:ind w:left="1080" w:hanging="360"/>
      </w:pPr>
      <w:rPr>
        <w:rFonts w:ascii="Cambria" w:eastAsia="Cambria" w:hAnsi="Cambria" w:cs="Times New Roman"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nsid w:val="67F85069"/>
    <w:multiLevelType w:val="hybridMultilevel"/>
    <w:tmpl w:val="775A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B711622"/>
    <w:multiLevelType w:val="hybridMultilevel"/>
    <w:tmpl w:val="C2E2E9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F77054"/>
    <w:multiLevelType w:val="hybridMultilevel"/>
    <w:tmpl w:val="67F0024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6FAF5B43"/>
    <w:multiLevelType w:val="hybridMultilevel"/>
    <w:tmpl w:val="A2701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0"/>
  </w:num>
  <w:num w:numId="4">
    <w:abstractNumId w:val="12"/>
  </w:num>
  <w:num w:numId="5">
    <w:abstractNumId w:val="26"/>
  </w:num>
  <w:num w:numId="6">
    <w:abstractNumId w:val="1"/>
  </w:num>
  <w:num w:numId="7">
    <w:abstractNumId w:val="0"/>
  </w:num>
  <w:num w:numId="8">
    <w:abstractNumId w:val="2"/>
  </w:num>
  <w:num w:numId="9">
    <w:abstractNumId w:val="24"/>
  </w:num>
  <w:num w:numId="10">
    <w:abstractNumId w:val="13"/>
  </w:num>
  <w:num w:numId="11">
    <w:abstractNumId w:val="5"/>
  </w:num>
  <w:num w:numId="12">
    <w:abstractNumId w:val="3"/>
  </w:num>
  <w:num w:numId="13">
    <w:abstractNumId w:val="16"/>
  </w:num>
  <w:num w:numId="14">
    <w:abstractNumId w:val="18"/>
  </w:num>
  <w:num w:numId="15">
    <w:abstractNumId w:val="17"/>
  </w:num>
  <w:num w:numId="16">
    <w:abstractNumId w:val="9"/>
  </w:num>
  <w:num w:numId="17">
    <w:abstractNumId w:val="28"/>
  </w:num>
  <w:num w:numId="18">
    <w:abstractNumId w:val="11"/>
  </w:num>
  <w:num w:numId="19">
    <w:abstractNumId w:val="19"/>
  </w:num>
  <w:num w:numId="20">
    <w:abstractNumId w:val="4"/>
  </w:num>
  <w:num w:numId="21">
    <w:abstractNumId w:val="6"/>
  </w:num>
  <w:num w:numId="22">
    <w:abstractNumId w:val="8"/>
  </w:num>
  <w:num w:numId="23">
    <w:abstractNumId w:val="25"/>
  </w:num>
  <w:num w:numId="24">
    <w:abstractNumId w:val="7"/>
  </w:num>
  <w:num w:numId="25">
    <w:abstractNumId w:val="20"/>
  </w:num>
  <w:num w:numId="26">
    <w:abstractNumId w:val="14"/>
  </w:num>
  <w:num w:numId="27">
    <w:abstractNumId w:val="27"/>
  </w:num>
  <w:num w:numId="28">
    <w:abstractNumId w:val="2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B0C"/>
    <w:rsid w:val="000022B2"/>
    <w:rsid w:val="000022BF"/>
    <w:rsid w:val="0000240C"/>
    <w:rsid w:val="0000377F"/>
    <w:rsid w:val="00004F1B"/>
    <w:rsid w:val="000050BC"/>
    <w:rsid w:val="00007A6D"/>
    <w:rsid w:val="00010107"/>
    <w:rsid w:val="00010D53"/>
    <w:rsid w:val="00010DEB"/>
    <w:rsid w:val="000114DE"/>
    <w:rsid w:val="00011A81"/>
    <w:rsid w:val="000123EE"/>
    <w:rsid w:val="00013B6D"/>
    <w:rsid w:val="00013C78"/>
    <w:rsid w:val="00015906"/>
    <w:rsid w:val="00016517"/>
    <w:rsid w:val="00016A8F"/>
    <w:rsid w:val="00016D33"/>
    <w:rsid w:val="000204C9"/>
    <w:rsid w:val="000218D7"/>
    <w:rsid w:val="00021C3C"/>
    <w:rsid w:val="00022E0A"/>
    <w:rsid w:val="00023112"/>
    <w:rsid w:val="00024133"/>
    <w:rsid w:val="0002413A"/>
    <w:rsid w:val="00024C5D"/>
    <w:rsid w:val="00025118"/>
    <w:rsid w:val="0002571A"/>
    <w:rsid w:val="00026C89"/>
    <w:rsid w:val="00033028"/>
    <w:rsid w:val="0003450C"/>
    <w:rsid w:val="00034EE6"/>
    <w:rsid w:val="00037171"/>
    <w:rsid w:val="00040BE3"/>
    <w:rsid w:val="00040DBD"/>
    <w:rsid w:val="000419CA"/>
    <w:rsid w:val="00041AC0"/>
    <w:rsid w:val="00042BC5"/>
    <w:rsid w:val="000441B9"/>
    <w:rsid w:val="000450CF"/>
    <w:rsid w:val="0005257B"/>
    <w:rsid w:val="00054E85"/>
    <w:rsid w:val="00054EDA"/>
    <w:rsid w:val="0005615D"/>
    <w:rsid w:val="0005654E"/>
    <w:rsid w:val="000601B5"/>
    <w:rsid w:val="00060D6C"/>
    <w:rsid w:val="000612AE"/>
    <w:rsid w:val="00061498"/>
    <w:rsid w:val="00064079"/>
    <w:rsid w:val="00064629"/>
    <w:rsid w:val="00066CED"/>
    <w:rsid w:val="00067324"/>
    <w:rsid w:val="0007003D"/>
    <w:rsid w:val="00070937"/>
    <w:rsid w:val="00070FED"/>
    <w:rsid w:val="00071590"/>
    <w:rsid w:val="000718DF"/>
    <w:rsid w:val="00072524"/>
    <w:rsid w:val="00072DE5"/>
    <w:rsid w:val="00075015"/>
    <w:rsid w:val="00075DF1"/>
    <w:rsid w:val="00077591"/>
    <w:rsid w:val="0008012C"/>
    <w:rsid w:val="000812AB"/>
    <w:rsid w:val="000812B9"/>
    <w:rsid w:val="00082980"/>
    <w:rsid w:val="000841B7"/>
    <w:rsid w:val="00086B54"/>
    <w:rsid w:val="00086BA4"/>
    <w:rsid w:val="00086C7E"/>
    <w:rsid w:val="0009034F"/>
    <w:rsid w:val="000912EF"/>
    <w:rsid w:val="00091564"/>
    <w:rsid w:val="00091CA0"/>
    <w:rsid w:val="00093380"/>
    <w:rsid w:val="00094021"/>
    <w:rsid w:val="00094EF0"/>
    <w:rsid w:val="000959CF"/>
    <w:rsid w:val="00095BD3"/>
    <w:rsid w:val="00095C14"/>
    <w:rsid w:val="00096C86"/>
    <w:rsid w:val="000976EF"/>
    <w:rsid w:val="000978B2"/>
    <w:rsid w:val="00097F1B"/>
    <w:rsid w:val="000A101E"/>
    <w:rsid w:val="000A18E9"/>
    <w:rsid w:val="000A2012"/>
    <w:rsid w:val="000A215A"/>
    <w:rsid w:val="000A2A50"/>
    <w:rsid w:val="000A397D"/>
    <w:rsid w:val="000A4EF2"/>
    <w:rsid w:val="000A59A9"/>
    <w:rsid w:val="000A70AE"/>
    <w:rsid w:val="000A7B64"/>
    <w:rsid w:val="000B0F63"/>
    <w:rsid w:val="000B100E"/>
    <w:rsid w:val="000B17B1"/>
    <w:rsid w:val="000B27FD"/>
    <w:rsid w:val="000B2B1F"/>
    <w:rsid w:val="000B393C"/>
    <w:rsid w:val="000B419C"/>
    <w:rsid w:val="000B5055"/>
    <w:rsid w:val="000B54FB"/>
    <w:rsid w:val="000B5783"/>
    <w:rsid w:val="000B61D3"/>
    <w:rsid w:val="000B7FF7"/>
    <w:rsid w:val="000C04AC"/>
    <w:rsid w:val="000C24B9"/>
    <w:rsid w:val="000C2BF9"/>
    <w:rsid w:val="000C2E30"/>
    <w:rsid w:val="000C53B6"/>
    <w:rsid w:val="000C5B92"/>
    <w:rsid w:val="000C5C03"/>
    <w:rsid w:val="000C707B"/>
    <w:rsid w:val="000C7319"/>
    <w:rsid w:val="000D0591"/>
    <w:rsid w:val="000D0711"/>
    <w:rsid w:val="000D1D8F"/>
    <w:rsid w:val="000D2E77"/>
    <w:rsid w:val="000D33FC"/>
    <w:rsid w:val="000D3D73"/>
    <w:rsid w:val="000D3EF6"/>
    <w:rsid w:val="000D5E8C"/>
    <w:rsid w:val="000D6DD3"/>
    <w:rsid w:val="000D7A38"/>
    <w:rsid w:val="000D7CDD"/>
    <w:rsid w:val="000E038D"/>
    <w:rsid w:val="000E06E8"/>
    <w:rsid w:val="000E07C9"/>
    <w:rsid w:val="000E1D92"/>
    <w:rsid w:val="000E2082"/>
    <w:rsid w:val="000E37B2"/>
    <w:rsid w:val="000E37BB"/>
    <w:rsid w:val="000E3C83"/>
    <w:rsid w:val="000E4478"/>
    <w:rsid w:val="000E489B"/>
    <w:rsid w:val="000E5771"/>
    <w:rsid w:val="000E5B66"/>
    <w:rsid w:val="000E72CD"/>
    <w:rsid w:val="000E7459"/>
    <w:rsid w:val="000F06A2"/>
    <w:rsid w:val="000F16FA"/>
    <w:rsid w:val="000F397F"/>
    <w:rsid w:val="000F3D8D"/>
    <w:rsid w:val="000F4493"/>
    <w:rsid w:val="000F50C0"/>
    <w:rsid w:val="000F53F1"/>
    <w:rsid w:val="000F57A0"/>
    <w:rsid w:val="000F6967"/>
    <w:rsid w:val="000F6B19"/>
    <w:rsid w:val="000F74FF"/>
    <w:rsid w:val="000F7A01"/>
    <w:rsid w:val="001007CB"/>
    <w:rsid w:val="00100BCF"/>
    <w:rsid w:val="00101210"/>
    <w:rsid w:val="00101DAA"/>
    <w:rsid w:val="00102E8C"/>
    <w:rsid w:val="0010377E"/>
    <w:rsid w:val="00103F4F"/>
    <w:rsid w:val="0010406C"/>
    <w:rsid w:val="00104346"/>
    <w:rsid w:val="00104456"/>
    <w:rsid w:val="00106DEF"/>
    <w:rsid w:val="0010789F"/>
    <w:rsid w:val="001108F7"/>
    <w:rsid w:val="001109E0"/>
    <w:rsid w:val="00111BC9"/>
    <w:rsid w:val="00111CDF"/>
    <w:rsid w:val="00112D49"/>
    <w:rsid w:val="00113D25"/>
    <w:rsid w:val="00114CDF"/>
    <w:rsid w:val="001168BB"/>
    <w:rsid w:val="0011765C"/>
    <w:rsid w:val="00120224"/>
    <w:rsid w:val="001210D8"/>
    <w:rsid w:val="00121327"/>
    <w:rsid w:val="00121729"/>
    <w:rsid w:val="00122168"/>
    <w:rsid w:val="00124B63"/>
    <w:rsid w:val="00124DB3"/>
    <w:rsid w:val="001262B3"/>
    <w:rsid w:val="001278D6"/>
    <w:rsid w:val="001302BC"/>
    <w:rsid w:val="00131B71"/>
    <w:rsid w:val="00132247"/>
    <w:rsid w:val="00134609"/>
    <w:rsid w:val="00134CA0"/>
    <w:rsid w:val="0013530A"/>
    <w:rsid w:val="001355DC"/>
    <w:rsid w:val="001355EF"/>
    <w:rsid w:val="00137682"/>
    <w:rsid w:val="00137C8A"/>
    <w:rsid w:val="00140926"/>
    <w:rsid w:val="00140D4B"/>
    <w:rsid w:val="0014129C"/>
    <w:rsid w:val="001427D1"/>
    <w:rsid w:val="00142809"/>
    <w:rsid w:val="0014345B"/>
    <w:rsid w:val="00145ABE"/>
    <w:rsid w:val="00145CC7"/>
    <w:rsid w:val="001462C1"/>
    <w:rsid w:val="00146E0D"/>
    <w:rsid w:val="00150314"/>
    <w:rsid w:val="00150EDD"/>
    <w:rsid w:val="00151563"/>
    <w:rsid w:val="00151C52"/>
    <w:rsid w:val="00151EBF"/>
    <w:rsid w:val="0015266D"/>
    <w:rsid w:val="0015506C"/>
    <w:rsid w:val="00155596"/>
    <w:rsid w:val="00155DE3"/>
    <w:rsid w:val="00155E1E"/>
    <w:rsid w:val="00160E26"/>
    <w:rsid w:val="00161614"/>
    <w:rsid w:val="00162314"/>
    <w:rsid w:val="00162D49"/>
    <w:rsid w:val="00162EE4"/>
    <w:rsid w:val="0016310B"/>
    <w:rsid w:val="00165CB9"/>
    <w:rsid w:val="00166472"/>
    <w:rsid w:val="00166542"/>
    <w:rsid w:val="00166C9C"/>
    <w:rsid w:val="00170F69"/>
    <w:rsid w:val="00171F08"/>
    <w:rsid w:val="001721D4"/>
    <w:rsid w:val="00172CCD"/>
    <w:rsid w:val="00173556"/>
    <w:rsid w:val="001737C4"/>
    <w:rsid w:val="00175FCB"/>
    <w:rsid w:val="00176F4D"/>
    <w:rsid w:val="001801AC"/>
    <w:rsid w:val="001802ED"/>
    <w:rsid w:val="00181318"/>
    <w:rsid w:val="00182540"/>
    <w:rsid w:val="00183972"/>
    <w:rsid w:val="00183BE0"/>
    <w:rsid w:val="00184BC2"/>
    <w:rsid w:val="0018550F"/>
    <w:rsid w:val="001859E2"/>
    <w:rsid w:val="00185D62"/>
    <w:rsid w:val="00187948"/>
    <w:rsid w:val="001907CA"/>
    <w:rsid w:val="00191172"/>
    <w:rsid w:val="001912D0"/>
    <w:rsid w:val="00191758"/>
    <w:rsid w:val="00192240"/>
    <w:rsid w:val="0019387E"/>
    <w:rsid w:val="00194E7F"/>
    <w:rsid w:val="00195D28"/>
    <w:rsid w:val="001965E2"/>
    <w:rsid w:val="00196F36"/>
    <w:rsid w:val="001973E1"/>
    <w:rsid w:val="001A23A1"/>
    <w:rsid w:val="001A28AA"/>
    <w:rsid w:val="001A34C8"/>
    <w:rsid w:val="001A4D97"/>
    <w:rsid w:val="001A5E99"/>
    <w:rsid w:val="001B0563"/>
    <w:rsid w:val="001B1321"/>
    <w:rsid w:val="001B212A"/>
    <w:rsid w:val="001B2133"/>
    <w:rsid w:val="001B253B"/>
    <w:rsid w:val="001B7C7C"/>
    <w:rsid w:val="001C0139"/>
    <w:rsid w:val="001C3264"/>
    <w:rsid w:val="001C41AC"/>
    <w:rsid w:val="001C5560"/>
    <w:rsid w:val="001C5F5B"/>
    <w:rsid w:val="001C6A01"/>
    <w:rsid w:val="001D020A"/>
    <w:rsid w:val="001D075C"/>
    <w:rsid w:val="001D0A7E"/>
    <w:rsid w:val="001D0C5C"/>
    <w:rsid w:val="001D10D1"/>
    <w:rsid w:val="001D1165"/>
    <w:rsid w:val="001D11F2"/>
    <w:rsid w:val="001D36FC"/>
    <w:rsid w:val="001D41F2"/>
    <w:rsid w:val="001D47A6"/>
    <w:rsid w:val="001D551A"/>
    <w:rsid w:val="001D5AD1"/>
    <w:rsid w:val="001D6755"/>
    <w:rsid w:val="001D74DD"/>
    <w:rsid w:val="001E0606"/>
    <w:rsid w:val="001E0775"/>
    <w:rsid w:val="001E08C6"/>
    <w:rsid w:val="001E0920"/>
    <w:rsid w:val="001E38DC"/>
    <w:rsid w:val="001E5A48"/>
    <w:rsid w:val="001E731A"/>
    <w:rsid w:val="001F02C0"/>
    <w:rsid w:val="001F0344"/>
    <w:rsid w:val="001F0551"/>
    <w:rsid w:val="001F0BC1"/>
    <w:rsid w:val="001F3098"/>
    <w:rsid w:val="001F3E03"/>
    <w:rsid w:val="001F4791"/>
    <w:rsid w:val="001F5A0D"/>
    <w:rsid w:val="002002B0"/>
    <w:rsid w:val="0020100E"/>
    <w:rsid w:val="0020197E"/>
    <w:rsid w:val="002021C5"/>
    <w:rsid w:val="00202AB6"/>
    <w:rsid w:val="00203896"/>
    <w:rsid w:val="0020444B"/>
    <w:rsid w:val="00204A25"/>
    <w:rsid w:val="00206D31"/>
    <w:rsid w:val="002077B7"/>
    <w:rsid w:val="00207E17"/>
    <w:rsid w:val="002112D8"/>
    <w:rsid w:val="002121B6"/>
    <w:rsid w:val="002127B7"/>
    <w:rsid w:val="002145A7"/>
    <w:rsid w:val="002163EC"/>
    <w:rsid w:val="002174C9"/>
    <w:rsid w:val="0021786B"/>
    <w:rsid w:val="002179D5"/>
    <w:rsid w:val="00217C88"/>
    <w:rsid w:val="00217EE8"/>
    <w:rsid w:val="00224A75"/>
    <w:rsid w:val="00224E2C"/>
    <w:rsid w:val="0022543E"/>
    <w:rsid w:val="00226C25"/>
    <w:rsid w:val="00226DB7"/>
    <w:rsid w:val="00227255"/>
    <w:rsid w:val="002300A0"/>
    <w:rsid w:val="00230D79"/>
    <w:rsid w:val="00231489"/>
    <w:rsid w:val="00231556"/>
    <w:rsid w:val="0023163A"/>
    <w:rsid w:val="00232CBE"/>
    <w:rsid w:val="00233838"/>
    <w:rsid w:val="00233DA6"/>
    <w:rsid w:val="00234EC8"/>
    <w:rsid w:val="00234F78"/>
    <w:rsid w:val="0023529A"/>
    <w:rsid w:val="0023653A"/>
    <w:rsid w:val="002365ED"/>
    <w:rsid w:val="00237045"/>
    <w:rsid w:val="0023710D"/>
    <w:rsid w:val="002374A9"/>
    <w:rsid w:val="00237DB7"/>
    <w:rsid w:val="00240881"/>
    <w:rsid w:val="00240914"/>
    <w:rsid w:val="00243D78"/>
    <w:rsid w:val="00243EC7"/>
    <w:rsid w:val="0024416D"/>
    <w:rsid w:val="00244749"/>
    <w:rsid w:val="00246CF7"/>
    <w:rsid w:val="00247127"/>
    <w:rsid w:val="002475AE"/>
    <w:rsid w:val="00250FEC"/>
    <w:rsid w:val="00252646"/>
    <w:rsid w:val="00253C2C"/>
    <w:rsid w:val="002551FE"/>
    <w:rsid w:val="00256438"/>
    <w:rsid w:val="00256762"/>
    <w:rsid w:val="00256A57"/>
    <w:rsid w:val="0025775F"/>
    <w:rsid w:val="00260CFF"/>
    <w:rsid w:val="00261AFF"/>
    <w:rsid w:val="00263032"/>
    <w:rsid w:val="002633F5"/>
    <w:rsid w:val="00263B69"/>
    <w:rsid w:val="002642D1"/>
    <w:rsid w:val="0026478E"/>
    <w:rsid w:val="00264AE1"/>
    <w:rsid w:val="002650B0"/>
    <w:rsid w:val="00265152"/>
    <w:rsid w:val="00265379"/>
    <w:rsid w:val="00265E1B"/>
    <w:rsid w:val="002665B8"/>
    <w:rsid w:val="00267669"/>
    <w:rsid w:val="00267768"/>
    <w:rsid w:val="00267985"/>
    <w:rsid w:val="00272E92"/>
    <w:rsid w:val="002737EC"/>
    <w:rsid w:val="00274101"/>
    <w:rsid w:val="00274E7E"/>
    <w:rsid w:val="00277AD4"/>
    <w:rsid w:val="00277DC0"/>
    <w:rsid w:val="002805B8"/>
    <w:rsid w:val="00281271"/>
    <w:rsid w:val="00281D72"/>
    <w:rsid w:val="002829C3"/>
    <w:rsid w:val="002846D3"/>
    <w:rsid w:val="00284BC0"/>
    <w:rsid w:val="00285801"/>
    <w:rsid w:val="00285B91"/>
    <w:rsid w:val="00285C58"/>
    <w:rsid w:val="0028799B"/>
    <w:rsid w:val="00287CF3"/>
    <w:rsid w:val="00290164"/>
    <w:rsid w:val="00290F0A"/>
    <w:rsid w:val="00292D76"/>
    <w:rsid w:val="00293981"/>
    <w:rsid w:val="002940D4"/>
    <w:rsid w:val="00294766"/>
    <w:rsid w:val="00294B41"/>
    <w:rsid w:val="00294C29"/>
    <w:rsid w:val="00297029"/>
    <w:rsid w:val="002975EA"/>
    <w:rsid w:val="00297619"/>
    <w:rsid w:val="002A0C98"/>
    <w:rsid w:val="002A1BBE"/>
    <w:rsid w:val="002A2258"/>
    <w:rsid w:val="002A2557"/>
    <w:rsid w:val="002A2EFF"/>
    <w:rsid w:val="002A48B6"/>
    <w:rsid w:val="002B1309"/>
    <w:rsid w:val="002B22F5"/>
    <w:rsid w:val="002B3720"/>
    <w:rsid w:val="002B5001"/>
    <w:rsid w:val="002B5C94"/>
    <w:rsid w:val="002B6FD9"/>
    <w:rsid w:val="002B7258"/>
    <w:rsid w:val="002C05C9"/>
    <w:rsid w:val="002C069A"/>
    <w:rsid w:val="002C2537"/>
    <w:rsid w:val="002C25BB"/>
    <w:rsid w:val="002C2DF3"/>
    <w:rsid w:val="002C329C"/>
    <w:rsid w:val="002C3683"/>
    <w:rsid w:val="002C4F2F"/>
    <w:rsid w:val="002C5186"/>
    <w:rsid w:val="002C57A5"/>
    <w:rsid w:val="002C655B"/>
    <w:rsid w:val="002D0B16"/>
    <w:rsid w:val="002D1ACF"/>
    <w:rsid w:val="002D3772"/>
    <w:rsid w:val="002D3ABF"/>
    <w:rsid w:val="002D400B"/>
    <w:rsid w:val="002D5241"/>
    <w:rsid w:val="002D5A32"/>
    <w:rsid w:val="002D65A5"/>
    <w:rsid w:val="002D65F6"/>
    <w:rsid w:val="002D733E"/>
    <w:rsid w:val="002D744E"/>
    <w:rsid w:val="002D7F14"/>
    <w:rsid w:val="002E0C9D"/>
    <w:rsid w:val="002E0D64"/>
    <w:rsid w:val="002E0F54"/>
    <w:rsid w:val="002E27F1"/>
    <w:rsid w:val="002E2D6A"/>
    <w:rsid w:val="002E56E6"/>
    <w:rsid w:val="002E5A07"/>
    <w:rsid w:val="002E6E28"/>
    <w:rsid w:val="002F0AEB"/>
    <w:rsid w:val="002F0BEB"/>
    <w:rsid w:val="002F56EC"/>
    <w:rsid w:val="002F6A17"/>
    <w:rsid w:val="002F700A"/>
    <w:rsid w:val="002F731D"/>
    <w:rsid w:val="002F7B22"/>
    <w:rsid w:val="00300BAA"/>
    <w:rsid w:val="00301D8F"/>
    <w:rsid w:val="00302800"/>
    <w:rsid w:val="00303BB8"/>
    <w:rsid w:val="0030492C"/>
    <w:rsid w:val="00304D0B"/>
    <w:rsid w:val="0030529A"/>
    <w:rsid w:val="00307C07"/>
    <w:rsid w:val="00311CCE"/>
    <w:rsid w:val="00311D38"/>
    <w:rsid w:val="00312001"/>
    <w:rsid w:val="00314692"/>
    <w:rsid w:val="00314BA1"/>
    <w:rsid w:val="00315856"/>
    <w:rsid w:val="003173F1"/>
    <w:rsid w:val="003203EA"/>
    <w:rsid w:val="00320462"/>
    <w:rsid w:val="00321282"/>
    <w:rsid w:val="003216AB"/>
    <w:rsid w:val="00323EBB"/>
    <w:rsid w:val="003240F0"/>
    <w:rsid w:val="00324F04"/>
    <w:rsid w:val="003250FF"/>
    <w:rsid w:val="00325CEE"/>
    <w:rsid w:val="00326F69"/>
    <w:rsid w:val="003275EE"/>
    <w:rsid w:val="00331993"/>
    <w:rsid w:val="003319C3"/>
    <w:rsid w:val="003321A7"/>
    <w:rsid w:val="0033348E"/>
    <w:rsid w:val="0033376D"/>
    <w:rsid w:val="003342B6"/>
    <w:rsid w:val="00334852"/>
    <w:rsid w:val="003356C9"/>
    <w:rsid w:val="00336BA2"/>
    <w:rsid w:val="00336DFF"/>
    <w:rsid w:val="0033710C"/>
    <w:rsid w:val="003373AA"/>
    <w:rsid w:val="003407E7"/>
    <w:rsid w:val="00340961"/>
    <w:rsid w:val="00340CD2"/>
    <w:rsid w:val="003415E2"/>
    <w:rsid w:val="003422F2"/>
    <w:rsid w:val="00342686"/>
    <w:rsid w:val="00344161"/>
    <w:rsid w:val="003458E8"/>
    <w:rsid w:val="003459A2"/>
    <w:rsid w:val="00346EFB"/>
    <w:rsid w:val="003506BB"/>
    <w:rsid w:val="00353776"/>
    <w:rsid w:val="00354D5C"/>
    <w:rsid w:val="00354F4E"/>
    <w:rsid w:val="00355DEF"/>
    <w:rsid w:val="00356510"/>
    <w:rsid w:val="00356602"/>
    <w:rsid w:val="00357976"/>
    <w:rsid w:val="0036040F"/>
    <w:rsid w:val="0036264C"/>
    <w:rsid w:val="00362792"/>
    <w:rsid w:val="00362AF9"/>
    <w:rsid w:val="0036302B"/>
    <w:rsid w:val="003633AC"/>
    <w:rsid w:val="003640C8"/>
    <w:rsid w:val="00370914"/>
    <w:rsid w:val="0037231A"/>
    <w:rsid w:val="003746CA"/>
    <w:rsid w:val="00374A02"/>
    <w:rsid w:val="003764AA"/>
    <w:rsid w:val="00376654"/>
    <w:rsid w:val="00376E1B"/>
    <w:rsid w:val="00377D86"/>
    <w:rsid w:val="00381036"/>
    <w:rsid w:val="003826BF"/>
    <w:rsid w:val="00382834"/>
    <w:rsid w:val="0038338C"/>
    <w:rsid w:val="00383402"/>
    <w:rsid w:val="0038380B"/>
    <w:rsid w:val="0038568B"/>
    <w:rsid w:val="00387C88"/>
    <w:rsid w:val="00387FD3"/>
    <w:rsid w:val="003900A6"/>
    <w:rsid w:val="00390265"/>
    <w:rsid w:val="003940C8"/>
    <w:rsid w:val="00394C26"/>
    <w:rsid w:val="00395145"/>
    <w:rsid w:val="00396589"/>
    <w:rsid w:val="0039741F"/>
    <w:rsid w:val="003979CB"/>
    <w:rsid w:val="003A09E2"/>
    <w:rsid w:val="003A0C71"/>
    <w:rsid w:val="003A1E15"/>
    <w:rsid w:val="003A2C3A"/>
    <w:rsid w:val="003A4667"/>
    <w:rsid w:val="003A4E87"/>
    <w:rsid w:val="003A543F"/>
    <w:rsid w:val="003A559D"/>
    <w:rsid w:val="003A666D"/>
    <w:rsid w:val="003A6ADA"/>
    <w:rsid w:val="003B04AA"/>
    <w:rsid w:val="003B1851"/>
    <w:rsid w:val="003B1AE5"/>
    <w:rsid w:val="003B1DD0"/>
    <w:rsid w:val="003B210C"/>
    <w:rsid w:val="003B4EC2"/>
    <w:rsid w:val="003B59BF"/>
    <w:rsid w:val="003B7C28"/>
    <w:rsid w:val="003C0948"/>
    <w:rsid w:val="003C0D28"/>
    <w:rsid w:val="003C243C"/>
    <w:rsid w:val="003C3803"/>
    <w:rsid w:val="003C390A"/>
    <w:rsid w:val="003C3B2D"/>
    <w:rsid w:val="003C3C53"/>
    <w:rsid w:val="003C5559"/>
    <w:rsid w:val="003C59A3"/>
    <w:rsid w:val="003C6169"/>
    <w:rsid w:val="003C7169"/>
    <w:rsid w:val="003C7F9E"/>
    <w:rsid w:val="003D0517"/>
    <w:rsid w:val="003D05BF"/>
    <w:rsid w:val="003D06A4"/>
    <w:rsid w:val="003D08D7"/>
    <w:rsid w:val="003D131D"/>
    <w:rsid w:val="003D404F"/>
    <w:rsid w:val="003D4D30"/>
    <w:rsid w:val="003D4DDE"/>
    <w:rsid w:val="003D545C"/>
    <w:rsid w:val="003D71E3"/>
    <w:rsid w:val="003D7A2F"/>
    <w:rsid w:val="003E3DFD"/>
    <w:rsid w:val="003E4482"/>
    <w:rsid w:val="003E4A65"/>
    <w:rsid w:val="003E6347"/>
    <w:rsid w:val="003E75FE"/>
    <w:rsid w:val="003E7765"/>
    <w:rsid w:val="003F3E89"/>
    <w:rsid w:val="003F4118"/>
    <w:rsid w:val="003F4ABB"/>
    <w:rsid w:val="003F4D51"/>
    <w:rsid w:val="003F5153"/>
    <w:rsid w:val="003F5C6B"/>
    <w:rsid w:val="003F63D8"/>
    <w:rsid w:val="003F675E"/>
    <w:rsid w:val="003F6963"/>
    <w:rsid w:val="003F7A01"/>
    <w:rsid w:val="00400151"/>
    <w:rsid w:val="004023A9"/>
    <w:rsid w:val="0040331A"/>
    <w:rsid w:val="00403D29"/>
    <w:rsid w:val="004040D1"/>
    <w:rsid w:val="004046C7"/>
    <w:rsid w:val="00407876"/>
    <w:rsid w:val="00410F62"/>
    <w:rsid w:val="00413342"/>
    <w:rsid w:val="00413823"/>
    <w:rsid w:val="00413936"/>
    <w:rsid w:val="00414B95"/>
    <w:rsid w:val="004150E9"/>
    <w:rsid w:val="00415300"/>
    <w:rsid w:val="00416027"/>
    <w:rsid w:val="004160CD"/>
    <w:rsid w:val="0041615A"/>
    <w:rsid w:val="0041660E"/>
    <w:rsid w:val="00416E19"/>
    <w:rsid w:val="00417435"/>
    <w:rsid w:val="0041767C"/>
    <w:rsid w:val="00417AE8"/>
    <w:rsid w:val="004202CF"/>
    <w:rsid w:val="0042129C"/>
    <w:rsid w:val="00421ECC"/>
    <w:rsid w:val="00422476"/>
    <w:rsid w:val="00423DF5"/>
    <w:rsid w:val="00424404"/>
    <w:rsid w:val="004255C7"/>
    <w:rsid w:val="004255D7"/>
    <w:rsid w:val="004265BD"/>
    <w:rsid w:val="00426A68"/>
    <w:rsid w:val="00426ABA"/>
    <w:rsid w:val="00426E3F"/>
    <w:rsid w:val="00427D48"/>
    <w:rsid w:val="00430963"/>
    <w:rsid w:val="00430D0C"/>
    <w:rsid w:val="0043265C"/>
    <w:rsid w:val="00432C8B"/>
    <w:rsid w:val="0043439D"/>
    <w:rsid w:val="004346B4"/>
    <w:rsid w:val="00434C6A"/>
    <w:rsid w:val="004363B4"/>
    <w:rsid w:val="004367FF"/>
    <w:rsid w:val="00437E47"/>
    <w:rsid w:val="0044077F"/>
    <w:rsid w:val="00440C20"/>
    <w:rsid w:val="00441114"/>
    <w:rsid w:val="00441460"/>
    <w:rsid w:val="00441565"/>
    <w:rsid w:val="00441748"/>
    <w:rsid w:val="0044196A"/>
    <w:rsid w:val="00441D84"/>
    <w:rsid w:val="004429CD"/>
    <w:rsid w:val="00442A4B"/>
    <w:rsid w:val="00443501"/>
    <w:rsid w:val="00443D0D"/>
    <w:rsid w:val="00443F02"/>
    <w:rsid w:val="00445EA2"/>
    <w:rsid w:val="00446217"/>
    <w:rsid w:val="00446286"/>
    <w:rsid w:val="0044673B"/>
    <w:rsid w:val="0044682A"/>
    <w:rsid w:val="00447B6A"/>
    <w:rsid w:val="00447D8D"/>
    <w:rsid w:val="00450425"/>
    <w:rsid w:val="00451622"/>
    <w:rsid w:val="0045187E"/>
    <w:rsid w:val="00451D37"/>
    <w:rsid w:val="00452125"/>
    <w:rsid w:val="00452149"/>
    <w:rsid w:val="0045429A"/>
    <w:rsid w:val="004550BB"/>
    <w:rsid w:val="004550DC"/>
    <w:rsid w:val="00455FB9"/>
    <w:rsid w:val="00456927"/>
    <w:rsid w:val="0045708D"/>
    <w:rsid w:val="004573AA"/>
    <w:rsid w:val="00457AE0"/>
    <w:rsid w:val="0046006B"/>
    <w:rsid w:val="00461A14"/>
    <w:rsid w:val="00462CD9"/>
    <w:rsid w:val="0046497A"/>
    <w:rsid w:val="00464FC5"/>
    <w:rsid w:val="004672C3"/>
    <w:rsid w:val="00467CAB"/>
    <w:rsid w:val="004707B6"/>
    <w:rsid w:val="00470820"/>
    <w:rsid w:val="0047185F"/>
    <w:rsid w:val="00472B5B"/>
    <w:rsid w:val="004731E2"/>
    <w:rsid w:val="00473249"/>
    <w:rsid w:val="00474063"/>
    <w:rsid w:val="00474163"/>
    <w:rsid w:val="00474908"/>
    <w:rsid w:val="00474DA4"/>
    <w:rsid w:val="00474F12"/>
    <w:rsid w:val="00475786"/>
    <w:rsid w:val="004769EC"/>
    <w:rsid w:val="00480392"/>
    <w:rsid w:val="004807E0"/>
    <w:rsid w:val="004841D2"/>
    <w:rsid w:val="004860BE"/>
    <w:rsid w:val="00486D62"/>
    <w:rsid w:val="00490128"/>
    <w:rsid w:val="0049082C"/>
    <w:rsid w:val="0049106C"/>
    <w:rsid w:val="00491CDE"/>
    <w:rsid w:val="00491CF3"/>
    <w:rsid w:val="00491E4D"/>
    <w:rsid w:val="004929E9"/>
    <w:rsid w:val="004932E0"/>
    <w:rsid w:val="00493725"/>
    <w:rsid w:val="00494615"/>
    <w:rsid w:val="004956CA"/>
    <w:rsid w:val="00497353"/>
    <w:rsid w:val="0049762F"/>
    <w:rsid w:val="004A048F"/>
    <w:rsid w:val="004A143B"/>
    <w:rsid w:val="004A1A3B"/>
    <w:rsid w:val="004A289C"/>
    <w:rsid w:val="004A2F97"/>
    <w:rsid w:val="004A3616"/>
    <w:rsid w:val="004A4862"/>
    <w:rsid w:val="004A56D4"/>
    <w:rsid w:val="004A6523"/>
    <w:rsid w:val="004A6E3A"/>
    <w:rsid w:val="004A7E1C"/>
    <w:rsid w:val="004B012D"/>
    <w:rsid w:val="004B0225"/>
    <w:rsid w:val="004B219B"/>
    <w:rsid w:val="004B21EE"/>
    <w:rsid w:val="004B2830"/>
    <w:rsid w:val="004B295A"/>
    <w:rsid w:val="004B3D78"/>
    <w:rsid w:val="004B47EB"/>
    <w:rsid w:val="004B492D"/>
    <w:rsid w:val="004B4FA6"/>
    <w:rsid w:val="004B5057"/>
    <w:rsid w:val="004B5B1D"/>
    <w:rsid w:val="004B6A82"/>
    <w:rsid w:val="004B75DB"/>
    <w:rsid w:val="004B7CF6"/>
    <w:rsid w:val="004B7D9D"/>
    <w:rsid w:val="004C025D"/>
    <w:rsid w:val="004C26F2"/>
    <w:rsid w:val="004C2D21"/>
    <w:rsid w:val="004C5592"/>
    <w:rsid w:val="004C5628"/>
    <w:rsid w:val="004D0527"/>
    <w:rsid w:val="004D266D"/>
    <w:rsid w:val="004D2F20"/>
    <w:rsid w:val="004D45C9"/>
    <w:rsid w:val="004D4A14"/>
    <w:rsid w:val="004D4ED5"/>
    <w:rsid w:val="004D5C3A"/>
    <w:rsid w:val="004D5D20"/>
    <w:rsid w:val="004E0681"/>
    <w:rsid w:val="004E0FB0"/>
    <w:rsid w:val="004E18D6"/>
    <w:rsid w:val="004E2466"/>
    <w:rsid w:val="004E2FBF"/>
    <w:rsid w:val="004E345C"/>
    <w:rsid w:val="004E3A46"/>
    <w:rsid w:val="004E429D"/>
    <w:rsid w:val="004E4A54"/>
    <w:rsid w:val="004E5567"/>
    <w:rsid w:val="004E6871"/>
    <w:rsid w:val="004E7847"/>
    <w:rsid w:val="004F01E6"/>
    <w:rsid w:val="004F05A2"/>
    <w:rsid w:val="004F14E3"/>
    <w:rsid w:val="004F3013"/>
    <w:rsid w:val="004F362C"/>
    <w:rsid w:val="004F40D9"/>
    <w:rsid w:val="004F41D5"/>
    <w:rsid w:val="004F4A46"/>
    <w:rsid w:val="004F6267"/>
    <w:rsid w:val="004F70FD"/>
    <w:rsid w:val="0050043A"/>
    <w:rsid w:val="00500D39"/>
    <w:rsid w:val="00501AEA"/>
    <w:rsid w:val="0050207E"/>
    <w:rsid w:val="00502894"/>
    <w:rsid w:val="00504D61"/>
    <w:rsid w:val="0050508B"/>
    <w:rsid w:val="0050543C"/>
    <w:rsid w:val="0050565D"/>
    <w:rsid w:val="00505B10"/>
    <w:rsid w:val="00505C15"/>
    <w:rsid w:val="00505C88"/>
    <w:rsid w:val="00506B0D"/>
    <w:rsid w:val="00506F45"/>
    <w:rsid w:val="0050702E"/>
    <w:rsid w:val="00507340"/>
    <w:rsid w:val="00507AA0"/>
    <w:rsid w:val="00511321"/>
    <w:rsid w:val="005131FD"/>
    <w:rsid w:val="0051374C"/>
    <w:rsid w:val="00514529"/>
    <w:rsid w:val="00516946"/>
    <w:rsid w:val="0051745A"/>
    <w:rsid w:val="005174ED"/>
    <w:rsid w:val="00521D9F"/>
    <w:rsid w:val="00523094"/>
    <w:rsid w:val="00524F6A"/>
    <w:rsid w:val="00525568"/>
    <w:rsid w:val="00525B99"/>
    <w:rsid w:val="00526F97"/>
    <w:rsid w:val="005301DD"/>
    <w:rsid w:val="005302C7"/>
    <w:rsid w:val="00532E51"/>
    <w:rsid w:val="00532F8A"/>
    <w:rsid w:val="00534185"/>
    <w:rsid w:val="00534F35"/>
    <w:rsid w:val="005357A6"/>
    <w:rsid w:val="00535D1F"/>
    <w:rsid w:val="00540A96"/>
    <w:rsid w:val="00541FBC"/>
    <w:rsid w:val="00542871"/>
    <w:rsid w:val="005430B6"/>
    <w:rsid w:val="00544178"/>
    <w:rsid w:val="00544337"/>
    <w:rsid w:val="00545568"/>
    <w:rsid w:val="00545CC6"/>
    <w:rsid w:val="00546577"/>
    <w:rsid w:val="0055097A"/>
    <w:rsid w:val="00552288"/>
    <w:rsid w:val="00561009"/>
    <w:rsid w:val="00561247"/>
    <w:rsid w:val="00561F02"/>
    <w:rsid w:val="0056228D"/>
    <w:rsid w:val="00562651"/>
    <w:rsid w:val="00564A77"/>
    <w:rsid w:val="0056539D"/>
    <w:rsid w:val="00566269"/>
    <w:rsid w:val="005673D2"/>
    <w:rsid w:val="00570C28"/>
    <w:rsid w:val="0057281C"/>
    <w:rsid w:val="005731C0"/>
    <w:rsid w:val="00573540"/>
    <w:rsid w:val="00575315"/>
    <w:rsid w:val="00575609"/>
    <w:rsid w:val="005773AC"/>
    <w:rsid w:val="00580917"/>
    <w:rsid w:val="00582920"/>
    <w:rsid w:val="00583ACA"/>
    <w:rsid w:val="00583E00"/>
    <w:rsid w:val="005840B7"/>
    <w:rsid w:val="00584FCA"/>
    <w:rsid w:val="00585225"/>
    <w:rsid w:val="00585443"/>
    <w:rsid w:val="0058571B"/>
    <w:rsid w:val="00585DD0"/>
    <w:rsid w:val="0058631D"/>
    <w:rsid w:val="00586832"/>
    <w:rsid w:val="00586F01"/>
    <w:rsid w:val="005873D3"/>
    <w:rsid w:val="005914B0"/>
    <w:rsid w:val="0059177E"/>
    <w:rsid w:val="00592828"/>
    <w:rsid w:val="0059307B"/>
    <w:rsid w:val="00595350"/>
    <w:rsid w:val="00595D22"/>
    <w:rsid w:val="005A18AD"/>
    <w:rsid w:val="005A1E5B"/>
    <w:rsid w:val="005A2A6B"/>
    <w:rsid w:val="005A2FF3"/>
    <w:rsid w:val="005A381F"/>
    <w:rsid w:val="005A3891"/>
    <w:rsid w:val="005A452A"/>
    <w:rsid w:val="005A5B0C"/>
    <w:rsid w:val="005A6389"/>
    <w:rsid w:val="005A6D86"/>
    <w:rsid w:val="005A6F80"/>
    <w:rsid w:val="005A7043"/>
    <w:rsid w:val="005B0F3B"/>
    <w:rsid w:val="005B1614"/>
    <w:rsid w:val="005B1905"/>
    <w:rsid w:val="005B2361"/>
    <w:rsid w:val="005B37EB"/>
    <w:rsid w:val="005B3825"/>
    <w:rsid w:val="005B40DF"/>
    <w:rsid w:val="005C0B0D"/>
    <w:rsid w:val="005C0E8F"/>
    <w:rsid w:val="005C1FD5"/>
    <w:rsid w:val="005C2DCC"/>
    <w:rsid w:val="005C329E"/>
    <w:rsid w:val="005C3CF3"/>
    <w:rsid w:val="005C48ED"/>
    <w:rsid w:val="005C5235"/>
    <w:rsid w:val="005C75DA"/>
    <w:rsid w:val="005C7E4A"/>
    <w:rsid w:val="005D139F"/>
    <w:rsid w:val="005D1D91"/>
    <w:rsid w:val="005D35B5"/>
    <w:rsid w:val="005D3A25"/>
    <w:rsid w:val="005D3CA9"/>
    <w:rsid w:val="005D3CB6"/>
    <w:rsid w:val="005E113D"/>
    <w:rsid w:val="005E151F"/>
    <w:rsid w:val="005E180E"/>
    <w:rsid w:val="005E188D"/>
    <w:rsid w:val="005E35F1"/>
    <w:rsid w:val="005E3F7D"/>
    <w:rsid w:val="005E4B7F"/>
    <w:rsid w:val="005E5136"/>
    <w:rsid w:val="005E5727"/>
    <w:rsid w:val="005E5820"/>
    <w:rsid w:val="005E5C58"/>
    <w:rsid w:val="005E5CDE"/>
    <w:rsid w:val="005E61BA"/>
    <w:rsid w:val="005E6A08"/>
    <w:rsid w:val="005E76C9"/>
    <w:rsid w:val="005E7EA9"/>
    <w:rsid w:val="005F36B3"/>
    <w:rsid w:val="005F39C1"/>
    <w:rsid w:val="005F4BEE"/>
    <w:rsid w:val="005F4F90"/>
    <w:rsid w:val="005F6DA9"/>
    <w:rsid w:val="00600457"/>
    <w:rsid w:val="00600AFE"/>
    <w:rsid w:val="00601371"/>
    <w:rsid w:val="006016FC"/>
    <w:rsid w:val="00603580"/>
    <w:rsid w:val="0060704D"/>
    <w:rsid w:val="006100D3"/>
    <w:rsid w:val="0061163E"/>
    <w:rsid w:val="0061252D"/>
    <w:rsid w:val="00612965"/>
    <w:rsid w:val="00612CCE"/>
    <w:rsid w:val="00612D28"/>
    <w:rsid w:val="00613372"/>
    <w:rsid w:val="00614112"/>
    <w:rsid w:val="0061454C"/>
    <w:rsid w:val="00614910"/>
    <w:rsid w:val="00615339"/>
    <w:rsid w:val="0061775E"/>
    <w:rsid w:val="0062102F"/>
    <w:rsid w:val="00622824"/>
    <w:rsid w:val="00626A88"/>
    <w:rsid w:val="0062741E"/>
    <w:rsid w:val="00627EBB"/>
    <w:rsid w:val="00631C6A"/>
    <w:rsid w:val="006322A4"/>
    <w:rsid w:val="00632A3F"/>
    <w:rsid w:val="00632AB1"/>
    <w:rsid w:val="00632B33"/>
    <w:rsid w:val="006347C6"/>
    <w:rsid w:val="00635BFD"/>
    <w:rsid w:val="00635F86"/>
    <w:rsid w:val="0063716A"/>
    <w:rsid w:val="00637472"/>
    <w:rsid w:val="00640A0F"/>
    <w:rsid w:val="00640E85"/>
    <w:rsid w:val="00641D33"/>
    <w:rsid w:val="006444B8"/>
    <w:rsid w:val="0064481B"/>
    <w:rsid w:val="006454A8"/>
    <w:rsid w:val="00645623"/>
    <w:rsid w:val="006467FE"/>
    <w:rsid w:val="00647492"/>
    <w:rsid w:val="00651A0D"/>
    <w:rsid w:val="0065247F"/>
    <w:rsid w:val="006527BB"/>
    <w:rsid w:val="00652CF8"/>
    <w:rsid w:val="00653660"/>
    <w:rsid w:val="00656248"/>
    <w:rsid w:val="00656825"/>
    <w:rsid w:val="00656EBC"/>
    <w:rsid w:val="00661EA0"/>
    <w:rsid w:val="0066640C"/>
    <w:rsid w:val="00666BB4"/>
    <w:rsid w:val="00670238"/>
    <w:rsid w:val="0067023B"/>
    <w:rsid w:val="006703F0"/>
    <w:rsid w:val="006731F4"/>
    <w:rsid w:val="006734E5"/>
    <w:rsid w:val="006737A8"/>
    <w:rsid w:val="0067461E"/>
    <w:rsid w:val="0067540B"/>
    <w:rsid w:val="00675BA1"/>
    <w:rsid w:val="0068021E"/>
    <w:rsid w:val="006813BB"/>
    <w:rsid w:val="006822D1"/>
    <w:rsid w:val="00682AA5"/>
    <w:rsid w:val="00686275"/>
    <w:rsid w:val="006902AD"/>
    <w:rsid w:val="006907D9"/>
    <w:rsid w:val="00690908"/>
    <w:rsid w:val="00690C55"/>
    <w:rsid w:val="006910EC"/>
    <w:rsid w:val="00692E21"/>
    <w:rsid w:val="00693DC7"/>
    <w:rsid w:val="0069496D"/>
    <w:rsid w:val="00694DD4"/>
    <w:rsid w:val="006969EF"/>
    <w:rsid w:val="006A07CF"/>
    <w:rsid w:val="006A1245"/>
    <w:rsid w:val="006A1674"/>
    <w:rsid w:val="006A4386"/>
    <w:rsid w:val="006B015B"/>
    <w:rsid w:val="006B1DBE"/>
    <w:rsid w:val="006B1FA1"/>
    <w:rsid w:val="006B4B6D"/>
    <w:rsid w:val="006B5128"/>
    <w:rsid w:val="006B5310"/>
    <w:rsid w:val="006B669F"/>
    <w:rsid w:val="006B7D6A"/>
    <w:rsid w:val="006C19C6"/>
    <w:rsid w:val="006C22C3"/>
    <w:rsid w:val="006C260D"/>
    <w:rsid w:val="006C5926"/>
    <w:rsid w:val="006D0721"/>
    <w:rsid w:val="006D194D"/>
    <w:rsid w:val="006D2E2E"/>
    <w:rsid w:val="006D3BB8"/>
    <w:rsid w:val="006D602D"/>
    <w:rsid w:val="006D6D62"/>
    <w:rsid w:val="006E0736"/>
    <w:rsid w:val="006E1F34"/>
    <w:rsid w:val="006E276F"/>
    <w:rsid w:val="006E2881"/>
    <w:rsid w:val="006E32D4"/>
    <w:rsid w:val="006E37D3"/>
    <w:rsid w:val="006E4608"/>
    <w:rsid w:val="006E4DDE"/>
    <w:rsid w:val="006E7094"/>
    <w:rsid w:val="006F096E"/>
    <w:rsid w:val="006F0DE6"/>
    <w:rsid w:val="006F172D"/>
    <w:rsid w:val="006F349A"/>
    <w:rsid w:val="006F3F89"/>
    <w:rsid w:val="006F566F"/>
    <w:rsid w:val="006F5C6F"/>
    <w:rsid w:val="006F5FEB"/>
    <w:rsid w:val="006F6419"/>
    <w:rsid w:val="006F68E2"/>
    <w:rsid w:val="006F701D"/>
    <w:rsid w:val="0070036A"/>
    <w:rsid w:val="00700767"/>
    <w:rsid w:val="00700E8A"/>
    <w:rsid w:val="00701416"/>
    <w:rsid w:val="00703ED5"/>
    <w:rsid w:val="00703EEA"/>
    <w:rsid w:val="007065F2"/>
    <w:rsid w:val="007069C1"/>
    <w:rsid w:val="007075D2"/>
    <w:rsid w:val="00710257"/>
    <w:rsid w:val="00711DB3"/>
    <w:rsid w:val="00711F95"/>
    <w:rsid w:val="00711FC3"/>
    <w:rsid w:val="0071295F"/>
    <w:rsid w:val="007138AC"/>
    <w:rsid w:val="00714652"/>
    <w:rsid w:val="00714F0E"/>
    <w:rsid w:val="0071673B"/>
    <w:rsid w:val="00717011"/>
    <w:rsid w:val="0072062B"/>
    <w:rsid w:val="00721F3A"/>
    <w:rsid w:val="00722944"/>
    <w:rsid w:val="00722A7D"/>
    <w:rsid w:val="00722FBA"/>
    <w:rsid w:val="00723A2C"/>
    <w:rsid w:val="0072481E"/>
    <w:rsid w:val="007250BC"/>
    <w:rsid w:val="00725D61"/>
    <w:rsid w:val="00727464"/>
    <w:rsid w:val="00727D7E"/>
    <w:rsid w:val="00730C48"/>
    <w:rsid w:val="00731EB1"/>
    <w:rsid w:val="00733242"/>
    <w:rsid w:val="00733544"/>
    <w:rsid w:val="00733A96"/>
    <w:rsid w:val="007343CF"/>
    <w:rsid w:val="00734A62"/>
    <w:rsid w:val="00735D7F"/>
    <w:rsid w:val="007375E1"/>
    <w:rsid w:val="00737862"/>
    <w:rsid w:val="00740C37"/>
    <w:rsid w:val="00740CD2"/>
    <w:rsid w:val="00741C56"/>
    <w:rsid w:val="00745876"/>
    <w:rsid w:val="00746B7B"/>
    <w:rsid w:val="00747D05"/>
    <w:rsid w:val="00750019"/>
    <w:rsid w:val="00750435"/>
    <w:rsid w:val="00752F2C"/>
    <w:rsid w:val="00754F86"/>
    <w:rsid w:val="00755B90"/>
    <w:rsid w:val="007573E1"/>
    <w:rsid w:val="007610A7"/>
    <w:rsid w:val="0076205D"/>
    <w:rsid w:val="00764367"/>
    <w:rsid w:val="00764CCA"/>
    <w:rsid w:val="00765A98"/>
    <w:rsid w:val="00765B8F"/>
    <w:rsid w:val="007662AB"/>
    <w:rsid w:val="00766385"/>
    <w:rsid w:val="00766860"/>
    <w:rsid w:val="00770C40"/>
    <w:rsid w:val="00771425"/>
    <w:rsid w:val="00771DA8"/>
    <w:rsid w:val="00773625"/>
    <w:rsid w:val="0077396B"/>
    <w:rsid w:val="00773F3A"/>
    <w:rsid w:val="007747A7"/>
    <w:rsid w:val="00775B95"/>
    <w:rsid w:val="00776DF8"/>
    <w:rsid w:val="007774CB"/>
    <w:rsid w:val="00780EC2"/>
    <w:rsid w:val="0078137A"/>
    <w:rsid w:val="00781C5D"/>
    <w:rsid w:val="00782051"/>
    <w:rsid w:val="007824B4"/>
    <w:rsid w:val="007824C9"/>
    <w:rsid w:val="00782D54"/>
    <w:rsid w:val="00782D59"/>
    <w:rsid w:val="00783368"/>
    <w:rsid w:val="00784006"/>
    <w:rsid w:val="00784A63"/>
    <w:rsid w:val="00784B9B"/>
    <w:rsid w:val="00785E03"/>
    <w:rsid w:val="0078715B"/>
    <w:rsid w:val="00790008"/>
    <w:rsid w:val="007921B0"/>
    <w:rsid w:val="00792B69"/>
    <w:rsid w:val="00793CF0"/>
    <w:rsid w:val="00794BDD"/>
    <w:rsid w:val="007956FB"/>
    <w:rsid w:val="00795FB2"/>
    <w:rsid w:val="00796878"/>
    <w:rsid w:val="00796BB5"/>
    <w:rsid w:val="00797354"/>
    <w:rsid w:val="007A07B4"/>
    <w:rsid w:val="007A1C3C"/>
    <w:rsid w:val="007A1DB5"/>
    <w:rsid w:val="007A230E"/>
    <w:rsid w:val="007A27DA"/>
    <w:rsid w:val="007A4FED"/>
    <w:rsid w:val="007A5216"/>
    <w:rsid w:val="007A6029"/>
    <w:rsid w:val="007A777E"/>
    <w:rsid w:val="007B019F"/>
    <w:rsid w:val="007B112E"/>
    <w:rsid w:val="007B1649"/>
    <w:rsid w:val="007B1E84"/>
    <w:rsid w:val="007B39B1"/>
    <w:rsid w:val="007B3C99"/>
    <w:rsid w:val="007B3D22"/>
    <w:rsid w:val="007B4261"/>
    <w:rsid w:val="007B570B"/>
    <w:rsid w:val="007B60F6"/>
    <w:rsid w:val="007B7A6C"/>
    <w:rsid w:val="007C0B46"/>
    <w:rsid w:val="007C1436"/>
    <w:rsid w:val="007C1951"/>
    <w:rsid w:val="007C2B2B"/>
    <w:rsid w:val="007C45C7"/>
    <w:rsid w:val="007C47AD"/>
    <w:rsid w:val="007C4883"/>
    <w:rsid w:val="007C7BA4"/>
    <w:rsid w:val="007D0067"/>
    <w:rsid w:val="007D0099"/>
    <w:rsid w:val="007D085B"/>
    <w:rsid w:val="007D093F"/>
    <w:rsid w:val="007D1878"/>
    <w:rsid w:val="007D26CA"/>
    <w:rsid w:val="007D2978"/>
    <w:rsid w:val="007D4064"/>
    <w:rsid w:val="007D594E"/>
    <w:rsid w:val="007E0A24"/>
    <w:rsid w:val="007E18FD"/>
    <w:rsid w:val="007E1AAA"/>
    <w:rsid w:val="007E294B"/>
    <w:rsid w:val="007E31A0"/>
    <w:rsid w:val="007E47C4"/>
    <w:rsid w:val="007E5351"/>
    <w:rsid w:val="007E55BF"/>
    <w:rsid w:val="007F071B"/>
    <w:rsid w:val="007F1139"/>
    <w:rsid w:val="007F12FA"/>
    <w:rsid w:val="007F1A4D"/>
    <w:rsid w:val="007F224F"/>
    <w:rsid w:val="007F29D2"/>
    <w:rsid w:val="007F2C3D"/>
    <w:rsid w:val="007F357F"/>
    <w:rsid w:val="007F4FC3"/>
    <w:rsid w:val="007F54B6"/>
    <w:rsid w:val="007F6585"/>
    <w:rsid w:val="007F688E"/>
    <w:rsid w:val="00801725"/>
    <w:rsid w:val="00801B4A"/>
    <w:rsid w:val="00803762"/>
    <w:rsid w:val="00803A35"/>
    <w:rsid w:val="008047A6"/>
    <w:rsid w:val="00804CC3"/>
    <w:rsid w:val="00805CBB"/>
    <w:rsid w:val="008062EC"/>
    <w:rsid w:val="00807389"/>
    <w:rsid w:val="008110EB"/>
    <w:rsid w:val="008111C4"/>
    <w:rsid w:val="008115AD"/>
    <w:rsid w:val="0081326C"/>
    <w:rsid w:val="00814CF6"/>
    <w:rsid w:val="0081704B"/>
    <w:rsid w:val="008174AC"/>
    <w:rsid w:val="008207D2"/>
    <w:rsid w:val="008209FA"/>
    <w:rsid w:val="00820C12"/>
    <w:rsid w:val="008230C4"/>
    <w:rsid w:val="00823B13"/>
    <w:rsid w:val="00824F24"/>
    <w:rsid w:val="0082502C"/>
    <w:rsid w:val="00825728"/>
    <w:rsid w:val="0082677C"/>
    <w:rsid w:val="0082697C"/>
    <w:rsid w:val="00830CF8"/>
    <w:rsid w:val="008316B3"/>
    <w:rsid w:val="00831D56"/>
    <w:rsid w:val="00832472"/>
    <w:rsid w:val="008326CA"/>
    <w:rsid w:val="00832A5D"/>
    <w:rsid w:val="00833E3E"/>
    <w:rsid w:val="00834288"/>
    <w:rsid w:val="0083463E"/>
    <w:rsid w:val="00834DEC"/>
    <w:rsid w:val="008354C4"/>
    <w:rsid w:val="00837546"/>
    <w:rsid w:val="00841098"/>
    <w:rsid w:val="008447E2"/>
    <w:rsid w:val="008449F1"/>
    <w:rsid w:val="00846589"/>
    <w:rsid w:val="0084697E"/>
    <w:rsid w:val="008479F0"/>
    <w:rsid w:val="00847FC8"/>
    <w:rsid w:val="0085053A"/>
    <w:rsid w:val="0085169B"/>
    <w:rsid w:val="00852502"/>
    <w:rsid w:val="00852758"/>
    <w:rsid w:val="00853EEC"/>
    <w:rsid w:val="0085501B"/>
    <w:rsid w:val="00855312"/>
    <w:rsid w:val="008555AA"/>
    <w:rsid w:val="0085585A"/>
    <w:rsid w:val="008566FD"/>
    <w:rsid w:val="008579E1"/>
    <w:rsid w:val="00857FD5"/>
    <w:rsid w:val="00864CA8"/>
    <w:rsid w:val="00864D43"/>
    <w:rsid w:val="008663F6"/>
    <w:rsid w:val="00870972"/>
    <w:rsid w:val="008716AE"/>
    <w:rsid w:val="00871C61"/>
    <w:rsid w:val="00871E1E"/>
    <w:rsid w:val="008736A0"/>
    <w:rsid w:val="00873FE8"/>
    <w:rsid w:val="008740A9"/>
    <w:rsid w:val="00874230"/>
    <w:rsid w:val="008750FD"/>
    <w:rsid w:val="00875626"/>
    <w:rsid w:val="00875DC3"/>
    <w:rsid w:val="00876CB4"/>
    <w:rsid w:val="00877CFF"/>
    <w:rsid w:val="00882BDC"/>
    <w:rsid w:val="00882C55"/>
    <w:rsid w:val="00883047"/>
    <w:rsid w:val="00884132"/>
    <w:rsid w:val="0088586B"/>
    <w:rsid w:val="00886BCB"/>
    <w:rsid w:val="00887E4E"/>
    <w:rsid w:val="00887F8D"/>
    <w:rsid w:val="00891A23"/>
    <w:rsid w:val="00891B7E"/>
    <w:rsid w:val="00891C90"/>
    <w:rsid w:val="00892153"/>
    <w:rsid w:val="00892E9C"/>
    <w:rsid w:val="0089317B"/>
    <w:rsid w:val="008938FF"/>
    <w:rsid w:val="00893FB9"/>
    <w:rsid w:val="0089415C"/>
    <w:rsid w:val="00895705"/>
    <w:rsid w:val="0089676C"/>
    <w:rsid w:val="00896F5B"/>
    <w:rsid w:val="00897FBB"/>
    <w:rsid w:val="008A0186"/>
    <w:rsid w:val="008A0280"/>
    <w:rsid w:val="008A0649"/>
    <w:rsid w:val="008A1FB4"/>
    <w:rsid w:val="008A2D3C"/>
    <w:rsid w:val="008A2E39"/>
    <w:rsid w:val="008A31B4"/>
    <w:rsid w:val="008A3F9B"/>
    <w:rsid w:val="008A615A"/>
    <w:rsid w:val="008A631F"/>
    <w:rsid w:val="008A725B"/>
    <w:rsid w:val="008B00DD"/>
    <w:rsid w:val="008B5B29"/>
    <w:rsid w:val="008B79F1"/>
    <w:rsid w:val="008B7FEC"/>
    <w:rsid w:val="008C027F"/>
    <w:rsid w:val="008C040A"/>
    <w:rsid w:val="008C04A7"/>
    <w:rsid w:val="008C0A16"/>
    <w:rsid w:val="008C1538"/>
    <w:rsid w:val="008C186D"/>
    <w:rsid w:val="008C2526"/>
    <w:rsid w:val="008C32E3"/>
    <w:rsid w:val="008C3B54"/>
    <w:rsid w:val="008C3C12"/>
    <w:rsid w:val="008C4303"/>
    <w:rsid w:val="008C4595"/>
    <w:rsid w:val="008D0598"/>
    <w:rsid w:val="008D0C7B"/>
    <w:rsid w:val="008D14F8"/>
    <w:rsid w:val="008D265F"/>
    <w:rsid w:val="008D2E17"/>
    <w:rsid w:val="008D3F56"/>
    <w:rsid w:val="008D4F43"/>
    <w:rsid w:val="008D796B"/>
    <w:rsid w:val="008E050D"/>
    <w:rsid w:val="008E074B"/>
    <w:rsid w:val="008E0DA4"/>
    <w:rsid w:val="008E123C"/>
    <w:rsid w:val="008E13A4"/>
    <w:rsid w:val="008E40EC"/>
    <w:rsid w:val="008E59EC"/>
    <w:rsid w:val="008E7C57"/>
    <w:rsid w:val="008F1A8A"/>
    <w:rsid w:val="008F274A"/>
    <w:rsid w:val="008F2859"/>
    <w:rsid w:val="008F3438"/>
    <w:rsid w:val="008F3D69"/>
    <w:rsid w:val="008F52CA"/>
    <w:rsid w:val="008F5C30"/>
    <w:rsid w:val="008F5DDF"/>
    <w:rsid w:val="008F6ADC"/>
    <w:rsid w:val="008F7851"/>
    <w:rsid w:val="00900E07"/>
    <w:rsid w:val="00901025"/>
    <w:rsid w:val="0090198B"/>
    <w:rsid w:val="0091060E"/>
    <w:rsid w:val="00912DB2"/>
    <w:rsid w:val="00913088"/>
    <w:rsid w:val="0091345E"/>
    <w:rsid w:val="00913CE6"/>
    <w:rsid w:val="00913ED5"/>
    <w:rsid w:val="009144C0"/>
    <w:rsid w:val="00917772"/>
    <w:rsid w:val="0092037F"/>
    <w:rsid w:val="0092038E"/>
    <w:rsid w:val="00922FEB"/>
    <w:rsid w:val="0092370F"/>
    <w:rsid w:val="00923FB8"/>
    <w:rsid w:val="00924107"/>
    <w:rsid w:val="0092412B"/>
    <w:rsid w:val="00926594"/>
    <w:rsid w:val="00926650"/>
    <w:rsid w:val="00926B14"/>
    <w:rsid w:val="00927978"/>
    <w:rsid w:val="00927C0E"/>
    <w:rsid w:val="00927C77"/>
    <w:rsid w:val="00930BAB"/>
    <w:rsid w:val="00931DE1"/>
    <w:rsid w:val="009336DC"/>
    <w:rsid w:val="00933913"/>
    <w:rsid w:val="009344BE"/>
    <w:rsid w:val="009345AC"/>
    <w:rsid w:val="00935199"/>
    <w:rsid w:val="00935C24"/>
    <w:rsid w:val="009363C6"/>
    <w:rsid w:val="00936709"/>
    <w:rsid w:val="00937501"/>
    <w:rsid w:val="009379C8"/>
    <w:rsid w:val="00937D39"/>
    <w:rsid w:val="00937DA8"/>
    <w:rsid w:val="00941EA1"/>
    <w:rsid w:val="00941F61"/>
    <w:rsid w:val="0094354E"/>
    <w:rsid w:val="00945085"/>
    <w:rsid w:val="00946013"/>
    <w:rsid w:val="00946218"/>
    <w:rsid w:val="00946219"/>
    <w:rsid w:val="00946751"/>
    <w:rsid w:val="009467D2"/>
    <w:rsid w:val="0095162D"/>
    <w:rsid w:val="0095292A"/>
    <w:rsid w:val="00955711"/>
    <w:rsid w:val="00955733"/>
    <w:rsid w:val="00955B2A"/>
    <w:rsid w:val="0095681F"/>
    <w:rsid w:val="00956CCE"/>
    <w:rsid w:val="009603E2"/>
    <w:rsid w:val="00961A88"/>
    <w:rsid w:val="00961FB3"/>
    <w:rsid w:val="00962F07"/>
    <w:rsid w:val="009635B5"/>
    <w:rsid w:val="00965DC9"/>
    <w:rsid w:val="0096697A"/>
    <w:rsid w:val="0096759B"/>
    <w:rsid w:val="00967B39"/>
    <w:rsid w:val="00970CF0"/>
    <w:rsid w:val="0097103E"/>
    <w:rsid w:val="00971674"/>
    <w:rsid w:val="0097287F"/>
    <w:rsid w:val="00972AAE"/>
    <w:rsid w:val="00972BFF"/>
    <w:rsid w:val="009738B2"/>
    <w:rsid w:val="00973AE5"/>
    <w:rsid w:val="00975EF2"/>
    <w:rsid w:val="0097782D"/>
    <w:rsid w:val="00980DDC"/>
    <w:rsid w:val="00981976"/>
    <w:rsid w:val="009821CE"/>
    <w:rsid w:val="009858B9"/>
    <w:rsid w:val="009866F0"/>
    <w:rsid w:val="00986A5D"/>
    <w:rsid w:val="00990CE7"/>
    <w:rsid w:val="00990FB2"/>
    <w:rsid w:val="00991F0A"/>
    <w:rsid w:val="009920B8"/>
    <w:rsid w:val="00993727"/>
    <w:rsid w:val="00993B2D"/>
    <w:rsid w:val="009951AD"/>
    <w:rsid w:val="009A0F7A"/>
    <w:rsid w:val="009A17D9"/>
    <w:rsid w:val="009A2C46"/>
    <w:rsid w:val="009A32E9"/>
    <w:rsid w:val="009A343A"/>
    <w:rsid w:val="009A6D1A"/>
    <w:rsid w:val="009A6DFE"/>
    <w:rsid w:val="009A7DCA"/>
    <w:rsid w:val="009B0144"/>
    <w:rsid w:val="009B01C6"/>
    <w:rsid w:val="009B0440"/>
    <w:rsid w:val="009B1FFA"/>
    <w:rsid w:val="009B3B4C"/>
    <w:rsid w:val="009B5279"/>
    <w:rsid w:val="009B6132"/>
    <w:rsid w:val="009B6708"/>
    <w:rsid w:val="009C13D4"/>
    <w:rsid w:val="009C1E48"/>
    <w:rsid w:val="009C2454"/>
    <w:rsid w:val="009C2480"/>
    <w:rsid w:val="009C278D"/>
    <w:rsid w:val="009C2F10"/>
    <w:rsid w:val="009C3735"/>
    <w:rsid w:val="009C3B83"/>
    <w:rsid w:val="009C4112"/>
    <w:rsid w:val="009C4D34"/>
    <w:rsid w:val="009C5837"/>
    <w:rsid w:val="009C7215"/>
    <w:rsid w:val="009C74CA"/>
    <w:rsid w:val="009D1A8A"/>
    <w:rsid w:val="009D2129"/>
    <w:rsid w:val="009D3797"/>
    <w:rsid w:val="009D3E86"/>
    <w:rsid w:val="009D4080"/>
    <w:rsid w:val="009D4A0E"/>
    <w:rsid w:val="009D51C9"/>
    <w:rsid w:val="009D525D"/>
    <w:rsid w:val="009D5CB8"/>
    <w:rsid w:val="009D60C5"/>
    <w:rsid w:val="009D75D8"/>
    <w:rsid w:val="009D76CD"/>
    <w:rsid w:val="009D7A96"/>
    <w:rsid w:val="009D7C5E"/>
    <w:rsid w:val="009E08BF"/>
    <w:rsid w:val="009E0963"/>
    <w:rsid w:val="009E13DE"/>
    <w:rsid w:val="009E3423"/>
    <w:rsid w:val="009E5578"/>
    <w:rsid w:val="009E5D96"/>
    <w:rsid w:val="009E650A"/>
    <w:rsid w:val="009E6540"/>
    <w:rsid w:val="009E6F07"/>
    <w:rsid w:val="009E7DF8"/>
    <w:rsid w:val="009F28AF"/>
    <w:rsid w:val="009F64DC"/>
    <w:rsid w:val="00A0073E"/>
    <w:rsid w:val="00A0185E"/>
    <w:rsid w:val="00A021FE"/>
    <w:rsid w:val="00A041B9"/>
    <w:rsid w:val="00A05F06"/>
    <w:rsid w:val="00A107D6"/>
    <w:rsid w:val="00A119A6"/>
    <w:rsid w:val="00A12A10"/>
    <w:rsid w:val="00A163E2"/>
    <w:rsid w:val="00A16E58"/>
    <w:rsid w:val="00A2007E"/>
    <w:rsid w:val="00A20464"/>
    <w:rsid w:val="00A207E4"/>
    <w:rsid w:val="00A218DF"/>
    <w:rsid w:val="00A21BF9"/>
    <w:rsid w:val="00A23390"/>
    <w:rsid w:val="00A26D08"/>
    <w:rsid w:val="00A27126"/>
    <w:rsid w:val="00A271A8"/>
    <w:rsid w:val="00A30368"/>
    <w:rsid w:val="00A31648"/>
    <w:rsid w:val="00A31EFF"/>
    <w:rsid w:val="00A31FEE"/>
    <w:rsid w:val="00A32331"/>
    <w:rsid w:val="00A329B2"/>
    <w:rsid w:val="00A33404"/>
    <w:rsid w:val="00A33E6E"/>
    <w:rsid w:val="00A34211"/>
    <w:rsid w:val="00A352A8"/>
    <w:rsid w:val="00A36A34"/>
    <w:rsid w:val="00A37B64"/>
    <w:rsid w:val="00A4002E"/>
    <w:rsid w:val="00A4020F"/>
    <w:rsid w:val="00A436EE"/>
    <w:rsid w:val="00A43D5F"/>
    <w:rsid w:val="00A44453"/>
    <w:rsid w:val="00A4455E"/>
    <w:rsid w:val="00A505DE"/>
    <w:rsid w:val="00A51A38"/>
    <w:rsid w:val="00A529D0"/>
    <w:rsid w:val="00A55380"/>
    <w:rsid w:val="00A573A6"/>
    <w:rsid w:val="00A60AC8"/>
    <w:rsid w:val="00A61BBF"/>
    <w:rsid w:val="00A630FA"/>
    <w:rsid w:val="00A63CAE"/>
    <w:rsid w:val="00A640F3"/>
    <w:rsid w:val="00A65DD0"/>
    <w:rsid w:val="00A669D5"/>
    <w:rsid w:val="00A70886"/>
    <w:rsid w:val="00A71721"/>
    <w:rsid w:val="00A71B83"/>
    <w:rsid w:val="00A72BCA"/>
    <w:rsid w:val="00A72DF8"/>
    <w:rsid w:val="00A74DA2"/>
    <w:rsid w:val="00A75486"/>
    <w:rsid w:val="00A76072"/>
    <w:rsid w:val="00A76118"/>
    <w:rsid w:val="00A76453"/>
    <w:rsid w:val="00A77223"/>
    <w:rsid w:val="00A8051A"/>
    <w:rsid w:val="00A80A4E"/>
    <w:rsid w:val="00A814FF"/>
    <w:rsid w:val="00A81844"/>
    <w:rsid w:val="00A820DC"/>
    <w:rsid w:val="00A82E1B"/>
    <w:rsid w:val="00A82F84"/>
    <w:rsid w:val="00A83AAF"/>
    <w:rsid w:val="00A84666"/>
    <w:rsid w:val="00A86273"/>
    <w:rsid w:val="00A865A3"/>
    <w:rsid w:val="00A86F37"/>
    <w:rsid w:val="00A87F3A"/>
    <w:rsid w:val="00A91157"/>
    <w:rsid w:val="00A91551"/>
    <w:rsid w:val="00A91952"/>
    <w:rsid w:val="00A92BB0"/>
    <w:rsid w:val="00A92C1D"/>
    <w:rsid w:val="00A93CB4"/>
    <w:rsid w:val="00A97851"/>
    <w:rsid w:val="00AA0002"/>
    <w:rsid w:val="00AA006E"/>
    <w:rsid w:val="00AA0B03"/>
    <w:rsid w:val="00AA1C75"/>
    <w:rsid w:val="00AA402D"/>
    <w:rsid w:val="00AA4363"/>
    <w:rsid w:val="00AA4766"/>
    <w:rsid w:val="00AA4976"/>
    <w:rsid w:val="00AA54DF"/>
    <w:rsid w:val="00AA57B7"/>
    <w:rsid w:val="00AA614A"/>
    <w:rsid w:val="00AA6337"/>
    <w:rsid w:val="00AA6B89"/>
    <w:rsid w:val="00AB0608"/>
    <w:rsid w:val="00AB07B5"/>
    <w:rsid w:val="00AB07E8"/>
    <w:rsid w:val="00AB0F4E"/>
    <w:rsid w:val="00AB11E8"/>
    <w:rsid w:val="00AB1B32"/>
    <w:rsid w:val="00AB28C7"/>
    <w:rsid w:val="00AB512E"/>
    <w:rsid w:val="00AB5312"/>
    <w:rsid w:val="00AB5356"/>
    <w:rsid w:val="00AB542E"/>
    <w:rsid w:val="00AB6AB5"/>
    <w:rsid w:val="00AB6B3B"/>
    <w:rsid w:val="00AB741F"/>
    <w:rsid w:val="00AB7ED8"/>
    <w:rsid w:val="00AC1721"/>
    <w:rsid w:val="00AC2AE0"/>
    <w:rsid w:val="00AC36CA"/>
    <w:rsid w:val="00AC3BAE"/>
    <w:rsid w:val="00AC41C9"/>
    <w:rsid w:val="00AC4792"/>
    <w:rsid w:val="00AC48B6"/>
    <w:rsid w:val="00AC5AAA"/>
    <w:rsid w:val="00AC6E11"/>
    <w:rsid w:val="00AC6E8B"/>
    <w:rsid w:val="00AC76FC"/>
    <w:rsid w:val="00AD0A92"/>
    <w:rsid w:val="00AD1540"/>
    <w:rsid w:val="00AD23BA"/>
    <w:rsid w:val="00AD310D"/>
    <w:rsid w:val="00AD3CD1"/>
    <w:rsid w:val="00AD3FD3"/>
    <w:rsid w:val="00AD4CB9"/>
    <w:rsid w:val="00AD51C4"/>
    <w:rsid w:val="00AD559A"/>
    <w:rsid w:val="00AD697D"/>
    <w:rsid w:val="00AD6E7C"/>
    <w:rsid w:val="00AD7A89"/>
    <w:rsid w:val="00AE01F6"/>
    <w:rsid w:val="00AE0B3D"/>
    <w:rsid w:val="00AE0D79"/>
    <w:rsid w:val="00AE0EDB"/>
    <w:rsid w:val="00AE0FED"/>
    <w:rsid w:val="00AE3B67"/>
    <w:rsid w:val="00AE3F7C"/>
    <w:rsid w:val="00AE4344"/>
    <w:rsid w:val="00AE46AA"/>
    <w:rsid w:val="00AE4F59"/>
    <w:rsid w:val="00AE5DAC"/>
    <w:rsid w:val="00AE5E6C"/>
    <w:rsid w:val="00AE742A"/>
    <w:rsid w:val="00AE7938"/>
    <w:rsid w:val="00AE7E92"/>
    <w:rsid w:val="00AF07B5"/>
    <w:rsid w:val="00AF2715"/>
    <w:rsid w:val="00AF3DCE"/>
    <w:rsid w:val="00AF4C0B"/>
    <w:rsid w:val="00AF5007"/>
    <w:rsid w:val="00AF60C5"/>
    <w:rsid w:val="00AF6B1A"/>
    <w:rsid w:val="00AF752E"/>
    <w:rsid w:val="00AF7D0F"/>
    <w:rsid w:val="00B0023B"/>
    <w:rsid w:val="00B008E0"/>
    <w:rsid w:val="00B03A0C"/>
    <w:rsid w:val="00B05111"/>
    <w:rsid w:val="00B057FF"/>
    <w:rsid w:val="00B05A41"/>
    <w:rsid w:val="00B06692"/>
    <w:rsid w:val="00B0727A"/>
    <w:rsid w:val="00B07EEF"/>
    <w:rsid w:val="00B14C42"/>
    <w:rsid w:val="00B14E8F"/>
    <w:rsid w:val="00B16060"/>
    <w:rsid w:val="00B17EEA"/>
    <w:rsid w:val="00B20C96"/>
    <w:rsid w:val="00B22C68"/>
    <w:rsid w:val="00B2413F"/>
    <w:rsid w:val="00B2619C"/>
    <w:rsid w:val="00B272B5"/>
    <w:rsid w:val="00B303E1"/>
    <w:rsid w:val="00B31450"/>
    <w:rsid w:val="00B31501"/>
    <w:rsid w:val="00B31858"/>
    <w:rsid w:val="00B33705"/>
    <w:rsid w:val="00B34170"/>
    <w:rsid w:val="00B344BB"/>
    <w:rsid w:val="00B34FF9"/>
    <w:rsid w:val="00B35F4A"/>
    <w:rsid w:val="00B37200"/>
    <w:rsid w:val="00B40B62"/>
    <w:rsid w:val="00B40EED"/>
    <w:rsid w:val="00B43406"/>
    <w:rsid w:val="00B43F6B"/>
    <w:rsid w:val="00B45FCD"/>
    <w:rsid w:val="00B469AE"/>
    <w:rsid w:val="00B46AF6"/>
    <w:rsid w:val="00B50033"/>
    <w:rsid w:val="00B50CB9"/>
    <w:rsid w:val="00B51306"/>
    <w:rsid w:val="00B51ED1"/>
    <w:rsid w:val="00B52019"/>
    <w:rsid w:val="00B5290D"/>
    <w:rsid w:val="00B53659"/>
    <w:rsid w:val="00B541E8"/>
    <w:rsid w:val="00B54C93"/>
    <w:rsid w:val="00B57F3F"/>
    <w:rsid w:val="00B600BE"/>
    <w:rsid w:val="00B601DE"/>
    <w:rsid w:val="00B60BFF"/>
    <w:rsid w:val="00B61740"/>
    <w:rsid w:val="00B61FCE"/>
    <w:rsid w:val="00B63BAA"/>
    <w:rsid w:val="00B65A3A"/>
    <w:rsid w:val="00B66AE6"/>
    <w:rsid w:val="00B70328"/>
    <w:rsid w:val="00B70BD5"/>
    <w:rsid w:val="00B70DD4"/>
    <w:rsid w:val="00B7255D"/>
    <w:rsid w:val="00B73A57"/>
    <w:rsid w:val="00B7473C"/>
    <w:rsid w:val="00B74AEC"/>
    <w:rsid w:val="00B74DF2"/>
    <w:rsid w:val="00B75467"/>
    <w:rsid w:val="00B75A8C"/>
    <w:rsid w:val="00B77902"/>
    <w:rsid w:val="00B8004C"/>
    <w:rsid w:val="00B80E17"/>
    <w:rsid w:val="00B81D71"/>
    <w:rsid w:val="00B825DA"/>
    <w:rsid w:val="00B827DD"/>
    <w:rsid w:val="00B833F3"/>
    <w:rsid w:val="00B838B9"/>
    <w:rsid w:val="00B83B7F"/>
    <w:rsid w:val="00B855A5"/>
    <w:rsid w:val="00B867C8"/>
    <w:rsid w:val="00B87B74"/>
    <w:rsid w:val="00B903D5"/>
    <w:rsid w:val="00B9175F"/>
    <w:rsid w:val="00B91D70"/>
    <w:rsid w:val="00B91D76"/>
    <w:rsid w:val="00B92C66"/>
    <w:rsid w:val="00B92F44"/>
    <w:rsid w:val="00B93FD0"/>
    <w:rsid w:val="00B955EA"/>
    <w:rsid w:val="00B9724B"/>
    <w:rsid w:val="00B97D50"/>
    <w:rsid w:val="00BA1A26"/>
    <w:rsid w:val="00BA1A55"/>
    <w:rsid w:val="00BA20B4"/>
    <w:rsid w:val="00BA213C"/>
    <w:rsid w:val="00BA6CFC"/>
    <w:rsid w:val="00BA75CE"/>
    <w:rsid w:val="00BB06D5"/>
    <w:rsid w:val="00BB104E"/>
    <w:rsid w:val="00BB153E"/>
    <w:rsid w:val="00BB20C1"/>
    <w:rsid w:val="00BB2436"/>
    <w:rsid w:val="00BB2845"/>
    <w:rsid w:val="00BB291A"/>
    <w:rsid w:val="00BB3500"/>
    <w:rsid w:val="00BB3662"/>
    <w:rsid w:val="00BB3BD2"/>
    <w:rsid w:val="00BB3D94"/>
    <w:rsid w:val="00BB5AA6"/>
    <w:rsid w:val="00BB7054"/>
    <w:rsid w:val="00BB74A2"/>
    <w:rsid w:val="00BB7F91"/>
    <w:rsid w:val="00BC01C3"/>
    <w:rsid w:val="00BC12BB"/>
    <w:rsid w:val="00BC1A3F"/>
    <w:rsid w:val="00BC3CFE"/>
    <w:rsid w:val="00BC3DE7"/>
    <w:rsid w:val="00BC4D1C"/>
    <w:rsid w:val="00BC5907"/>
    <w:rsid w:val="00BC5928"/>
    <w:rsid w:val="00BC6C8B"/>
    <w:rsid w:val="00BD0D32"/>
    <w:rsid w:val="00BD200F"/>
    <w:rsid w:val="00BD36A7"/>
    <w:rsid w:val="00BD413F"/>
    <w:rsid w:val="00BD6547"/>
    <w:rsid w:val="00BD760F"/>
    <w:rsid w:val="00BD795B"/>
    <w:rsid w:val="00BE17A8"/>
    <w:rsid w:val="00BE221B"/>
    <w:rsid w:val="00BE3E4E"/>
    <w:rsid w:val="00BE46AC"/>
    <w:rsid w:val="00BE61FE"/>
    <w:rsid w:val="00BE6ABE"/>
    <w:rsid w:val="00BE7066"/>
    <w:rsid w:val="00BE7880"/>
    <w:rsid w:val="00BE7FC7"/>
    <w:rsid w:val="00BF0272"/>
    <w:rsid w:val="00BF0CA7"/>
    <w:rsid w:val="00BF2B7A"/>
    <w:rsid w:val="00BF2F2E"/>
    <w:rsid w:val="00BF3038"/>
    <w:rsid w:val="00BF3A42"/>
    <w:rsid w:val="00BF3DBB"/>
    <w:rsid w:val="00BF5289"/>
    <w:rsid w:val="00BF5A10"/>
    <w:rsid w:val="00BF5F07"/>
    <w:rsid w:val="00BF6BF3"/>
    <w:rsid w:val="00C02D01"/>
    <w:rsid w:val="00C04C65"/>
    <w:rsid w:val="00C058ED"/>
    <w:rsid w:val="00C059F4"/>
    <w:rsid w:val="00C06697"/>
    <w:rsid w:val="00C0673D"/>
    <w:rsid w:val="00C06D92"/>
    <w:rsid w:val="00C07314"/>
    <w:rsid w:val="00C07D3B"/>
    <w:rsid w:val="00C1018F"/>
    <w:rsid w:val="00C113C5"/>
    <w:rsid w:val="00C11B8F"/>
    <w:rsid w:val="00C11F48"/>
    <w:rsid w:val="00C12333"/>
    <w:rsid w:val="00C12429"/>
    <w:rsid w:val="00C14C05"/>
    <w:rsid w:val="00C14EB2"/>
    <w:rsid w:val="00C1524F"/>
    <w:rsid w:val="00C15387"/>
    <w:rsid w:val="00C16B47"/>
    <w:rsid w:val="00C177BC"/>
    <w:rsid w:val="00C20289"/>
    <w:rsid w:val="00C203CE"/>
    <w:rsid w:val="00C205BA"/>
    <w:rsid w:val="00C20A36"/>
    <w:rsid w:val="00C22AC9"/>
    <w:rsid w:val="00C22C21"/>
    <w:rsid w:val="00C2371E"/>
    <w:rsid w:val="00C24C07"/>
    <w:rsid w:val="00C2500E"/>
    <w:rsid w:val="00C25BC5"/>
    <w:rsid w:val="00C30062"/>
    <w:rsid w:val="00C300F8"/>
    <w:rsid w:val="00C30D99"/>
    <w:rsid w:val="00C32D1C"/>
    <w:rsid w:val="00C32D24"/>
    <w:rsid w:val="00C32E32"/>
    <w:rsid w:val="00C34BBC"/>
    <w:rsid w:val="00C35682"/>
    <w:rsid w:val="00C35EEA"/>
    <w:rsid w:val="00C36798"/>
    <w:rsid w:val="00C37155"/>
    <w:rsid w:val="00C3721D"/>
    <w:rsid w:val="00C379B9"/>
    <w:rsid w:val="00C402A2"/>
    <w:rsid w:val="00C407B0"/>
    <w:rsid w:val="00C40D6B"/>
    <w:rsid w:val="00C43101"/>
    <w:rsid w:val="00C4400E"/>
    <w:rsid w:val="00C45241"/>
    <w:rsid w:val="00C45C9B"/>
    <w:rsid w:val="00C50197"/>
    <w:rsid w:val="00C51821"/>
    <w:rsid w:val="00C51957"/>
    <w:rsid w:val="00C52211"/>
    <w:rsid w:val="00C52911"/>
    <w:rsid w:val="00C52C78"/>
    <w:rsid w:val="00C52F15"/>
    <w:rsid w:val="00C544A9"/>
    <w:rsid w:val="00C5645A"/>
    <w:rsid w:val="00C56A58"/>
    <w:rsid w:val="00C6023A"/>
    <w:rsid w:val="00C6168C"/>
    <w:rsid w:val="00C61962"/>
    <w:rsid w:val="00C626A8"/>
    <w:rsid w:val="00C62859"/>
    <w:rsid w:val="00C63170"/>
    <w:rsid w:val="00C63427"/>
    <w:rsid w:val="00C635FE"/>
    <w:rsid w:val="00C63BDA"/>
    <w:rsid w:val="00C649EB"/>
    <w:rsid w:val="00C64C30"/>
    <w:rsid w:val="00C676AB"/>
    <w:rsid w:val="00C67B65"/>
    <w:rsid w:val="00C72429"/>
    <w:rsid w:val="00C74B24"/>
    <w:rsid w:val="00C752D6"/>
    <w:rsid w:val="00C754A1"/>
    <w:rsid w:val="00C765A1"/>
    <w:rsid w:val="00C775F4"/>
    <w:rsid w:val="00C77930"/>
    <w:rsid w:val="00C77A36"/>
    <w:rsid w:val="00C77CFE"/>
    <w:rsid w:val="00C77F10"/>
    <w:rsid w:val="00C81DD1"/>
    <w:rsid w:val="00C83CF6"/>
    <w:rsid w:val="00C854FC"/>
    <w:rsid w:val="00C85A40"/>
    <w:rsid w:val="00C85F3D"/>
    <w:rsid w:val="00C900A7"/>
    <w:rsid w:val="00C91E09"/>
    <w:rsid w:val="00C924BF"/>
    <w:rsid w:val="00C93539"/>
    <w:rsid w:val="00C9512E"/>
    <w:rsid w:val="00C95482"/>
    <w:rsid w:val="00C9565F"/>
    <w:rsid w:val="00C95B1A"/>
    <w:rsid w:val="00C95C30"/>
    <w:rsid w:val="00C96C58"/>
    <w:rsid w:val="00C96D74"/>
    <w:rsid w:val="00C96E0C"/>
    <w:rsid w:val="00C976F2"/>
    <w:rsid w:val="00C97CCC"/>
    <w:rsid w:val="00CA0B96"/>
    <w:rsid w:val="00CA0E7C"/>
    <w:rsid w:val="00CA2A34"/>
    <w:rsid w:val="00CA3690"/>
    <w:rsid w:val="00CA36BE"/>
    <w:rsid w:val="00CA3BC5"/>
    <w:rsid w:val="00CA4172"/>
    <w:rsid w:val="00CA4263"/>
    <w:rsid w:val="00CB17A2"/>
    <w:rsid w:val="00CB1B59"/>
    <w:rsid w:val="00CB36FE"/>
    <w:rsid w:val="00CB3E03"/>
    <w:rsid w:val="00CB3FC3"/>
    <w:rsid w:val="00CB5A47"/>
    <w:rsid w:val="00CB7AC0"/>
    <w:rsid w:val="00CC0427"/>
    <w:rsid w:val="00CC1D31"/>
    <w:rsid w:val="00CC4B04"/>
    <w:rsid w:val="00CC527A"/>
    <w:rsid w:val="00CC5E0F"/>
    <w:rsid w:val="00CC5E2F"/>
    <w:rsid w:val="00CC6081"/>
    <w:rsid w:val="00CC7445"/>
    <w:rsid w:val="00CD1C95"/>
    <w:rsid w:val="00CD2D99"/>
    <w:rsid w:val="00CD303B"/>
    <w:rsid w:val="00CD3947"/>
    <w:rsid w:val="00CD5344"/>
    <w:rsid w:val="00CD58DA"/>
    <w:rsid w:val="00CD6B8D"/>
    <w:rsid w:val="00CD78F7"/>
    <w:rsid w:val="00CD7C9B"/>
    <w:rsid w:val="00CE0179"/>
    <w:rsid w:val="00CE0254"/>
    <w:rsid w:val="00CE0B4F"/>
    <w:rsid w:val="00CE1E31"/>
    <w:rsid w:val="00CE2092"/>
    <w:rsid w:val="00CE21E9"/>
    <w:rsid w:val="00CE2782"/>
    <w:rsid w:val="00CE27A3"/>
    <w:rsid w:val="00CE467B"/>
    <w:rsid w:val="00CE5124"/>
    <w:rsid w:val="00CE525F"/>
    <w:rsid w:val="00CE5311"/>
    <w:rsid w:val="00CE6FF5"/>
    <w:rsid w:val="00CF1D21"/>
    <w:rsid w:val="00CF2929"/>
    <w:rsid w:val="00CF582F"/>
    <w:rsid w:val="00CF673F"/>
    <w:rsid w:val="00CF6BA7"/>
    <w:rsid w:val="00CF6E6E"/>
    <w:rsid w:val="00D0043A"/>
    <w:rsid w:val="00D03630"/>
    <w:rsid w:val="00D03A35"/>
    <w:rsid w:val="00D04554"/>
    <w:rsid w:val="00D05667"/>
    <w:rsid w:val="00D0661E"/>
    <w:rsid w:val="00D06E73"/>
    <w:rsid w:val="00D0700D"/>
    <w:rsid w:val="00D07545"/>
    <w:rsid w:val="00D07A54"/>
    <w:rsid w:val="00D1164C"/>
    <w:rsid w:val="00D13221"/>
    <w:rsid w:val="00D133C0"/>
    <w:rsid w:val="00D160A6"/>
    <w:rsid w:val="00D1712C"/>
    <w:rsid w:val="00D21FB7"/>
    <w:rsid w:val="00D234B7"/>
    <w:rsid w:val="00D2402E"/>
    <w:rsid w:val="00D24DEE"/>
    <w:rsid w:val="00D25371"/>
    <w:rsid w:val="00D253F8"/>
    <w:rsid w:val="00D2557D"/>
    <w:rsid w:val="00D2625A"/>
    <w:rsid w:val="00D270E5"/>
    <w:rsid w:val="00D2763A"/>
    <w:rsid w:val="00D30534"/>
    <w:rsid w:val="00D307E6"/>
    <w:rsid w:val="00D32157"/>
    <w:rsid w:val="00D33E82"/>
    <w:rsid w:val="00D349D7"/>
    <w:rsid w:val="00D34FA7"/>
    <w:rsid w:val="00D34FBD"/>
    <w:rsid w:val="00D36CBF"/>
    <w:rsid w:val="00D37D0A"/>
    <w:rsid w:val="00D40F70"/>
    <w:rsid w:val="00D41D6F"/>
    <w:rsid w:val="00D41FE7"/>
    <w:rsid w:val="00D4334B"/>
    <w:rsid w:val="00D436EF"/>
    <w:rsid w:val="00D440E9"/>
    <w:rsid w:val="00D44E95"/>
    <w:rsid w:val="00D467B8"/>
    <w:rsid w:val="00D46E88"/>
    <w:rsid w:val="00D470A4"/>
    <w:rsid w:val="00D50033"/>
    <w:rsid w:val="00D507B9"/>
    <w:rsid w:val="00D50922"/>
    <w:rsid w:val="00D50B78"/>
    <w:rsid w:val="00D50E21"/>
    <w:rsid w:val="00D50FEE"/>
    <w:rsid w:val="00D51BD4"/>
    <w:rsid w:val="00D527EE"/>
    <w:rsid w:val="00D5299C"/>
    <w:rsid w:val="00D529CB"/>
    <w:rsid w:val="00D534C9"/>
    <w:rsid w:val="00D549E2"/>
    <w:rsid w:val="00D54AA6"/>
    <w:rsid w:val="00D54FC1"/>
    <w:rsid w:val="00D5558E"/>
    <w:rsid w:val="00D55FF0"/>
    <w:rsid w:val="00D572A5"/>
    <w:rsid w:val="00D57DDA"/>
    <w:rsid w:val="00D61650"/>
    <w:rsid w:val="00D617FD"/>
    <w:rsid w:val="00D6200F"/>
    <w:rsid w:val="00D6283D"/>
    <w:rsid w:val="00D632D7"/>
    <w:rsid w:val="00D63F1D"/>
    <w:rsid w:val="00D645B9"/>
    <w:rsid w:val="00D65413"/>
    <w:rsid w:val="00D65C0F"/>
    <w:rsid w:val="00D672A0"/>
    <w:rsid w:val="00D7012C"/>
    <w:rsid w:val="00D70629"/>
    <w:rsid w:val="00D72526"/>
    <w:rsid w:val="00D74548"/>
    <w:rsid w:val="00D75000"/>
    <w:rsid w:val="00D75793"/>
    <w:rsid w:val="00D7766B"/>
    <w:rsid w:val="00D77EB7"/>
    <w:rsid w:val="00D8031F"/>
    <w:rsid w:val="00D81BDF"/>
    <w:rsid w:val="00D826B3"/>
    <w:rsid w:val="00D82938"/>
    <w:rsid w:val="00D83967"/>
    <w:rsid w:val="00D839CB"/>
    <w:rsid w:val="00D8449B"/>
    <w:rsid w:val="00D84E7F"/>
    <w:rsid w:val="00D864DD"/>
    <w:rsid w:val="00D86F90"/>
    <w:rsid w:val="00D8778E"/>
    <w:rsid w:val="00D9093A"/>
    <w:rsid w:val="00D90EDD"/>
    <w:rsid w:val="00D910EC"/>
    <w:rsid w:val="00D91B40"/>
    <w:rsid w:val="00D91F17"/>
    <w:rsid w:val="00D937EF"/>
    <w:rsid w:val="00D93AF3"/>
    <w:rsid w:val="00D9470D"/>
    <w:rsid w:val="00D952B5"/>
    <w:rsid w:val="00D953D4"/>
    <w:rsid w:val="00D95E4F"/>
    <w:rsid w:val="00DA18D9"/>
    <w:rsid w:val="00DA1993"/>
    <w:rsid w:val="00DA1A8B"/>
    <w:rsid w:val="00DA24E3"/>
    <w:rsid w:val="00DA2824"/>
    <w:rsid w:val="00DA3384"/>
    <w:rsid w:val="00DA44E1"/>
    <w:rsid w:val="00DA541D"/>
    <w:rsid w:val="00DA54B3"/>
    <w:rsid w:val="00DA6586"/>
    <w:rsid w:val="00DA6BEE"/>
    <w:rsid w:val="00DA732C"/>
    <w:rsid w:val="00DA76ED"/>
    <w:rsid w:val="00DB08C7"/>
    <w:rsid w:val="00DB10EF"/>
    <w:rsid w:val="00DB138B"/>
    <w:rsid w:val="00DB1BCC"/>
    <w:rsid w:val="00DB1CFE"/>
    <w:rsid w:val="00DB2FB8"/>
    <w:rsid w:val="00DB3519"/>
    <w:rsid w:val="00DB3F9F"/>
    <w:rsid w:val="00DB4A13"/>
    <w:rsid w:val="00DB5DB6"/>
    <w:rsid w:val="00DB716D"/>
    <w:rsid w:val="00DC1BB1"/>
    <w:rsid w:val="00DC28B2"/>
    <w:rsid w:val="00DC2C23"/>
    <w:rsid w:val="00DC360E"/>
    <w:rsid w:val="00DC3BA6"/>
    <w:rsid w:val="00DC420D"/>
    <w:rsid w:val="00DC42D2"/>
    <w:rsid w:val="00DC5729"/>
    <w:rsid w:val="00DC5F06"/>
    <w:rsid w:val="00DC6C4F"/>
    <w:rsid w:val="00DD15FE"/>
    <w:rsid w:val="00DD162F"/>
    <w:rsid w:val="00DD1650"/>
    <w:rsid w:val="00DD40E1"/>
    <w:rsid w:val="00DD40EE"/>
    <w:rsid w:val="00DD4F78"/>
    <w:rsid w:val="00DD52EF"/>
    <w:rsid w:val="00DD57DD"/>
    <w:rsid w:val="00DD5E4C"/>
    <w:rsid w:val="00DD6422"/>
    <w:rsid w:val="00DD6550"/>
    <w:rsid w:val="00DE01B8"/>
    <w:rsid w:val="00DE0BE8"/>
    <w:rsid w:val="00DE3339"/>
    <w:rsid w:val="00DE38C1"/>
    <w:rsid w:val="00DE40C8"/>
    <w:rsid w:val="00DE5282"/>
    <w:rsid w:val="00DE6E4D"/>
    <w:rsid w:val="00DE6FAD"/>
    <w:rsid w:val="00DE7322"/>
    <w:rsid w:val="00DE74D7"/>
    <w:rsid w:val="00DF0973"/>
    <w:rsid w:val="00DF0BF3"/>
    <w:rsid w:val="00DF2AB1"/>
    <w:rsid w:val="00DF31F6"/>
    <w:rsid w:val="00DF3366"/>
    <w:rsid w:val="00DF409A"/>
    <w:rsid w:val="00DF40D4"/>
    <w:rsid w:val="00DF4772"/>
    <w:rsid w:val="00DF5ADB"/>
    <w:rsid w:val="00DF611E"/>
    <w:rsid w:val="00DF6394"/>
    <w:rsid w:val="00DF7384"/>
    <w:rsid w:val="00DF73BF"/>
    <w:rsid w:val="00DF7481"/>
    <w:rsid w:val="00E01ECA"/>
    <w:rsid w:val="00E03045"/>
    <w:rsid w:val="00E03855"/>
    <w:rsid w:val="00E0417E"/>
    <w:rsid w:val="00E0536A"/>
    <w:rsid w:val="00E116CB"/>
    <w:rsid w:val="00E119D2"/>
    <w:rsid w:val="00E129E2"/>
    <w:rsid w:val="00E12FD1"/>
    <w:rsid w:val="00E135BB"/>
    <w:rsid w:val="00E14293"/>
    <w:rsid w:val="00E1487A"/>
    <w:rsid w:val="00E17AAA"/>
    <w:rsid w:val="00E219FD"/>
    <w:rsid w:val="00E21A4B"/>
    <w:rsid w:val="00E223C7"/>
    <w:rsid w:val="00E22591"/>
    <w:rsid w:val="00E22C08"/>
    <w:rsid w:val="00E23071"/>
    <w:rsid w:val="00E25949"/>
    <w:rsid w:val="00E2703E"/>
    <w:rsid w:val="00E27B25"/>
    <w:rsid w:val="00E30452"/>
    <w:rsid w:val="00E305F4"/>
    <w:rsid w:val="00E31806"/>
    <w:rsid w:val="00E32A4D"/>
    <w:rsid w:val="00E35222"/>
    <w:rsid w:val="00E35E12"/>
    <w:rsid w:val="00E36AB2"/>
    <w:rsid w:val="00E36B89"/>
    <w:rsid w:val="00E4013D"/>
    <w:rsid w:val="00E401A6"/>
    <w:rsid w:val="00E40DBA"/>
    <w:rsid w:val="00E4322A"/>
    <w:rsid w:val="00E44946"/>
    <w:rsid w:val="00E44C33"/>
    <w:rsid w:val="00E45139"/>
    <w:rsid w:val="00E4513F"/>
    <w:rsid w:val="00E45FAC"/>
    <w:rsid w:val="00E4696B"/>
    <w:rsid w:val="00E469F0"/>
    <w:rsid w:val="00E47235"/>
    <w:rsid w:val="00E47A9C"/>
    <w:rsid w:val="00E47E71"/>
    <w:rsid w:val="00E50425"/>
    <w:rsid w:val="00E5042B"/>
    <w:rsid w:val="00E50BE1"/>
    <w:rsid w:val="00E50F6A"/>
    <w:rsid w:val="00E512A0"/>
    <w:rsid w:val="00E51CFF"/>
    <w:rsid w:val="00E52E0A"/>
    <w:rsid w:val="00E53478"/>
    <w:rsid w:val="00E53C3E"/>
    <w:rsid w:val="00E53DB6"/>
    <w:rsid w:val="00E544B2"/>
    <w:rsid w:val="00E54D3C"/>
    <w:rsid w:val="00E564A3"/>
    <w:rsid w:val="00E565E6"/>
    <w:rsid w:val="00E56A5F"/>
    <w:rsid w:val="00E57373"/>
    <w:rsid w:val="00E603E5"/>
    <w:rsid w:val="00E61AE8"/>
    <w:rsid w:val="00E63146"/>
    <w:rsid w:val="00E648D5"/>
    <w:rsid w:val="00E652AF"/>
    <w:rsid w:val="00E653FA"/>
    <w:rsid w:val="00E65D5E"/>
    <w:rsid w:val="00E7060B"/>
    <w:rsid w:val="00E70E4A"/>
    <w:rsid w:val="00E711D4"/>
    <w:rsid w:val="00E71499"/>
    <w:rsid w:val="00E74EA3"/>
    <w:rsid w:val="00E75385"/>
    <w:rsid w:val="00E7607D"/>
    <w:rsid w:val="00E77577"/>
    <w:rsid w:val="00E8136F"/>
    <w:rsid w:val="00E8170A"/>
    <w:rsid w:val="00E8193D"/>
    <w:rsid w:val="00E81E93"/>
    <w:rsid w:val="00E8439A"/>
    <w:rsid w:val="00E85637"/>
    <w:rsid w:val="00E85647"/>
    <w:rsid w:val="00E864C2"/>
    <w:rsid w:val="00E8694E"/>
    <w:rsid w:val="00E90185"/>
    <w:rsid w:val="00E90520"/>
    <w:rsid w:val="00E92208"/>
    <w:rsid w:val="00E9274A"/>
    <w:rsid w:val="00E92893"/>
    <w:rsid w:val="00E92A6C"/>
    <w:rsid w:val="00E92C6A"/>
    <w:rsid w:val="00E92D34"/>
    <w:rsid w:val="00E9382D"/>
    <w:rsid w:val="00E93C1C"/>
    <w:rsid w:val="00E93D1B"/>
    <w:rsid w:val="00E9546C"/>
    <w:rsid w:val="00E96A32"/>
    <w:rsid w:val="00E97343"/>
    <w:rsid w:val="00E97C85"/>
    <w:rsid w:val="00E97F18"/>
    <w:rsid w:val="00EA4598"/>
    <w:rsid w:val="00EA5567"/>
    <w:rsid w:val="00EA61A7"/>
    <w:rsid w:val="00EA632B"/>
    <w:rsid w:val="00EA6C44"/>
    <w:rsid w:val="00EA77E6"/>
    <w:rsid w:val="00EB0045"/>
    <w:rsid w:val="00EB09C3"/>
    <w:rsid w:val="00EB106A"/>
    <w:rsid w:val="00EB4C16"/>
    <w:rsid w:val="00EB6125"/>
    <w:rsid w:val="00EB6E89"/>
    <w:rsid w:val="00EB6F13"/>
    <w:rsid w:val="00EB70E9"/>
    <w:rsid w:val="00EB7F1D"/>
    <w:rsid w:val="00EC0A2D"/>
    <w:rsid w:val="00EC107F"/>
    <w:rsid w:val="00EC14EE"/>
    <w:rsid w:val="00EC16BE"/>
    <w:rsid w:val="00EC24C8"/>
    <w:rsid w:val="00EC3A2F"/>
    <w:rsid w:val="00EC55AA"/>
    <w:rsid w:val="00EC5F2C"/>
    <w:rsid w:val="00EC754E"/>
    <w:rsid w:val="00ED0E6D"/>
    <w:rsid w:val="00ED18F2"/>
    <w:rsid w:val="00ED1E59"/>
    <w:rsid w:val="00ED2422"/>
    <w:rsid w:val="00ED3C00"/>
    <w:rsid w:val="00ED3FA8"/>
    <w:rsid w:val="00EE02AD"/>
    <w:rsid w:val="00EE1D55"/>
    <w:rsid w:val="00EE24E0"/>
    <w:rsid w:val="00EE2857"/>
    <w:rsid w:val="00EE2E9B"/>
    <w:rsid w:val="00EE43D6"/>
    <w:rsid w:val="00EE4533"/>
    <w:rsid w:val="00EF1F83"/>
    <w:rsid w:val="00EF3A2D"/>
    <w:rsid w:val="00EF4E01"/>
    <w:rsid w:val="00EF5011"/>
    <w:rsid w:val="00EF79AA"/>
    <w:rsid w:val="00F00522"/>
    <w:rsid w:val="00F012C8"/>
    <w:rsid w:val="00F025AF"/>
    <w:rsid w:val="00F02B03"/>
    <w:rsid w:val="00F02F31"/>
    <w:rsid w:val="00F03A5A"/>
    <w:rsid w:val="00F04788"/>
    <w:rsid w:val="00F05E8C"/>
    <w:rsid w:val="00F067BD"/>
    <w:rsid w:val="00F07BD3"/>
    <w:rsid w:val="00F11F7F"/>
    <w:rsid w:val="00F126A7"/>
    <w:rsid w:val="00F145E4"/>
    <w:rsid w:val="00F15DB7"/>
    <w:rsid w:val="00F16C25"/>
    <w:rsid w:val="00F17FD5"/>
    <w:rsid w:val="00F2129F"/>
    <w:rsid w:val="00F2458D"/>
    <w:rsid w:val="00F24C24"/>
    <w:rsid w:val="00F25E42"/>
    <w:rsid w:val="00F25EEB"/>
    <w:rsid w:val="00F26A43"/>
    <w:rsid w:val="00F26B3E"/>
    <w:rsid w:val="00F274AE"/>
    <w:rsid w:val="00F27E56"/>
    <w:rsid w:val="00F300DF"/>
    <w:rsid w:val="00F312B4"/>
    <w:rsid w:val="00F31861"/>
    <w:rsid w:val="00F320F8"/>
    <w:rsid w:val="00F338CC"/>
    <w:rsid w:val="00F33A18"/>
    <w:rsid w:val="00F347EC"/>
    <w:rsid w:val="00F35411"/>
    <w:rsid w:val="00F3592B"/>
    <w:rsid w:val="00F40D27"/>
    <w:rsid w:val="00F413CC"/>
    <w:rsid w:val="00F41838"/>
    <w:rsid w:val="00F42F78"/>
    <w:rsid w:val="00F436A0"/>
    <w:rsid w:val="00F447F0"/>
    <w:rsid w:val="00F466BE"/>
    <w:rsid w:val="00F4708B"/>
    <w:rsid w:val="00F47E9F"/>
    <w:rsid w:val="00F500EC"/>
    <w:rsid w:val="00F50C98"/>
    <w:rsid w:val="00F50E28"/>
    <w:rsid w:val="00F51393"/>
    <w:rsid w:val="00F52FD7"/>
    <w:rsid w:val="00F53740"/>
    <w:rsid w:val="00F539F8"/>
    <w:rsid w:val="00F53DF6"/>
    <w:rsid w:val="00F54F31"/>
    <w:rsid w:val="00F56750"/>
    <w:rsid w:val="00F57249"/>
    <w:rsid w:val="00F5790D"/>
    <w:rsid w:val="00F61E86"/>
    <w:rsid w:val="00F629F2"/>
    <w:rsid w:val="00F63F6B"/>
    <w:rsid w:val="00F64EE5"/>
    <w:rsid w:val="00F653A0"/>
    <w:rsid w:val="00F6587C"/>
    <w:rsid w:val="00F70E81"/>
    <w:rsid w:val="00F719B3"/>
    <w:rsid w:val="00F72D4E"/>
    <w:rsid w:val="00F73902"/>
    <w:rsid w:val="00F73F75"/>
    <w:rsid w:val="00F75A0E"/>
    <w:rsid w:val="00F75AA3"/>
    <w:rsid w:val="00F75BCE"/>
    <w:rsid w:val="00F75E6A"/>
    <w:rsid w:val="00F7716A"/>
    <w:rsid w:val="00F772A7"/>
    <w:rsid w:val="00F805CE"/>
    <w:rsid w:val="00F81503"/>
    <w:rsid w:val="00F82D48"/>
    <w:rsid w:val="00F8365C"/>
    <w:rsid w:val="00F83A8E"/>
    <w:rsid w:val="00F83BD4"/>
    <w:rsid w:val="00F8468D"/>
    <w:rsid w:val="00F856B3"/>
    <w:rsid w:val="00F85DB9"/>
    <w:rsid w:val="00F874D9"/>
    <w:rsid w:val="00F9063A"/>
    <w:rsid w:val="00F906DC"/>
    <w:rsid w:val="00F90FC8"/>
    <w:rsid w:val="00F91268"/>
    <w:rsid w:val="00F91A78"/>
    <w:rsid w:val="00F94ABB"/>
    <w:rsid w:val="00F94F34"/>
    <w:rsid w:val="00F95223"/>
    <w:rsid w:val="00F959F8"/>
    <w:rsid w:val="00FA2BA2"/>
    <w:rsid w:val="00FA2F73"/>
    <w:rsid w:val="00FA47DD"/>
    <w:rsid w:val="00FA4A95"/>
    <w:rsid w:val="00FA53CB"/>
    <w:rsid w:val="00FA5B64"/>
    <w:rsid w:val="00FA5BB8"/>
    <w:rsid w:val="00FA6862"/>
    <w:rsid w:val="00FB04BF"/>
    <w:rsid w:val="00FB1E6A"/>
    <w:rsid w:val="00FB4AB2"/>
    <w:rsid w:val="00FB6DBC"/>
    <w:rsid w:val="00FB6DC6"/>
    <w:rsid w:val="00FB6FB5"/>
    <w:rsid w:val="00FC16E4"/>
    <w:rsid w:val="00FC2A9C"/>
    <w:rsid w:val="00FC55E3"/>
    <w:rsid w:val="00FC6346"/>
    <w:rsid w:val="00FC6674"/>
    <w:rsid w:val="00FC7FAD"/>
    <w:rsid w:val="00FD074C"/>
    <w:rsid w:val="00FD23C4"/>
    <w:rsid w:val="00FD25E9"/>
    <w:rsid w:val="00FD3462"/>
    <w:rsid w:val="00FD4BEA"/>
    <w:rsid w:val="00FD5229"/>
    <w:rsid w:val="00FD7539"/>
    <w:rsid w:val="00FD7DCE"/>
    <w:rsid w:val="00FD7DD3"/>
    <w:rsid w:val="00FE0A1A"/>
    <w:rsid w:val="00FE35BC"/>
    <w:rsid w:val="00FE5910"/>
    <w:rsid w:val="00FE6E67"/>
    <w:rsid w:val="00FF05A7"/>
    <w:rsid w:val="00FF1B96"/>
    <w:rsid w:val="00FF1BB3"/>
    <w:rsid w:val="00FF22D1"/>
    <w:rsid w:val="00FF6AAC"/>
    <w:rsid w:val="00FF7B8D"/>
    <w:rsid w:val="00FF7CDB"/>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67">
    <w:lsdException w:name="heading 3"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Normal (Web)" w:uiPriority="99"/>
    <w:lsdException w:name="Balloon Text" w:uiPriority="99"/>
    <w:lsdException w:name="Table Grid" w:uiPriority="59"/>
    <w:lsdException w:name="List Paragraph" w:uiPriority="34" w:qFormat="1"/>
  </w:latentStyles>
  <w:style w:type="paragraph" w:default="1" w:styleId="Normal">
    <w:name w:val="Normal"/>
    <w:qFormat/>
    <w:rsid w:val="005A5B0C"/>
    <w:rPr>
      <w:rFonts w:eastAsiaTheme="minorEastAsia"/>
      <w:lang w:eastAsia="es-ES_tradnl"/>
    </w:rPr>
  </w:style>
  <w:style w:type="paragraph" w:styleId="Ttulo1">
    <w:name w:val="heading 1"/>
    <w:basedOn w:val="Normal"/>
    <w:next w:val="Normal"/>
    <w:link w:val="Ttulo1Car"/>
    <w:uiPriority w:val="9"/>
    <w:qFormat/>
    <w:rsid w:val="005A5B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5A5B0C"/>
    <w:pPr>
      <w:keepNext/>
      <w:spacing w:before="240" w:after="60"/>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unhideWhenUsed/>
    <w:qFormat/>
    <w:rsid w:val="005A5B0C"/>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
    <w:uiPriority w:val="99"/>
    <w:unhideWhenUsed/>
    <w:rsid w:val="005A5B0C"/>
    <w:rPr>
      <w:rFonts w:ascii="Tahoma" w:hAnsi="Tahoma" w:cs="Tahoma"/>
      <w:sz w:val="16"/>
      <w:szCs w:val="16"/>
    </w:rPr>
  </w:style>
  <w:style w:type="character" w:customStyle="1" w:styleId="TextodegloboCar">
    <w:name w:val="Texto de globo Car"/>
    <w:basedOn w:val="Fuentedeprrafopredeter"/>
    <w:uiPriority w:val="99"/>
    <w:semiHidden/>
    <w:rsid w:val="00AE6B51"/>
    <w:rPr>
      <w:rFonts w:ascii="Lucida Grande" w:hAnsi="Lucida Grande"/>
      <w:sz w:val="18"/>
      <w:szCs w:val="18"/>
    </w:rPr>
  </w:style>
  <w:style w:type="character" w:customStyle="1" w:styleId="TextodegloboCar0">
    <w:name w:val="Texto de globo Car"/>
    <w:basedOn w:val="Fuentedeprrafopredeter"/>
    <w:uiPriority w:val="99"/>
    <w:semiHidden/>
    <w:rsid w:val="00CF4A53"/>
    <w:rPr>
      <w:rFonts w:ascii="Lucida Grande" w:hAnsi="Lucida Grande" w:cs="Lucida Grande"/>
      <w:sz w:val="18"/>
      <w:szCs w:val="18"/>
    </w:rPr>
  </w:style>
  <w:style w:type="character" w:customStyle="1" w:styleId="TextodegloboCar2">
    <w:name w:val="Texto de globo Car"/>
    <w:basedOn w:val="Fuentedeprrafopredeter"/>
    <w:uiPriority w:val="99"/>
    <w:semiHidden/>
    <w:rsid w:val="00335B7A"/>
    <w:rPr>
      <w:rFonts w:ascii="Lucida Grande" w:hAnsi="Lucida Grande"/>
      <w:sz w:val="18"/>
      <w:szCs w:val="18"/>
    </w:rPr>
  </w:style>
  <w:style w:type="character" w:customStyle="1" w:styleId="TextodegloboCar3">
    <w:name w:val="Texto de globo Car"/>
    <w:basedOn w:val="Fuentedeprrafopredeter"/>
    <w:uiPriority w:val="99"/>
    <w:semiHidden/>
    <w:rsid w:val="00335B7A"/>
    <w:rPr>
      <w:rFonts w:ascii="Lucida Grande" w:hAnsi="Lucida Grande"/>
      <w:sz w:val="18"/>
      <w:szCs w:val="18"/>
    </w:rPr>
  </w:style>
  <w:style w:type="character" w:customStyle="1" w:styleId="TextodegloboCar4">
    <w:name w:val="Texto de globo Car"/>
    <w:basedOn w:val="Fuentedeprrafopredeter"/>
    <w:uiPriority w:val="99"/>
    <w:semiHidden/>
    <w:rsid w:val="00335B7A"/>
    <w:rPr>
      <w:rFonts w:ascii="Lucida Grande" w:hAnsi="Lucida Grande"/>
      <w:sz w:val="18"/>
      <w:szCs w:val="18"/>
    </w:rPr>
  </w:style>
  <w:style w:type="character" w:customStyle="1" w:styleId="TextodegloboCar5">
    <w:name w:val="Texto de globo Car"/>
    <w:basedOn w:val="Fuentedeprrafopredeter"/>
    <w:uiPriority w:val="99"/>
    <w:semiHidden/>
    <w:rsid w:val="00EC2F3D"/>
    <w:rPr>
      <w:rFonts w:ascii="Lucida Grande" w:hAnsi="Lucida Grande"/>
      <w:sz w:val="18"/>
      <w:szCs w:val="18"/>
    </w:rPr>
  </w:style>
  <w:style w:type="character" w:customStyle="1" w:styleId="TextodegloboCar6">
    <w:name w:val="Texto de globo Car"/>
    <w:basedOn w:val="Fuentedeprrafopredeter"/>
    <w:uiPriority w:val="99"/>
    <w:semiHidden/>
    <w:rsid w:val="00CC0C05"/>
    <w:rPr>
      <w:rFonts w:ascii="Lucida Grande" w:hAnsi="Lucida Grande"/>
      <w:sz w:val="18"/>
      <w:szCs w:val="18"/>
    </w:rPr>
  </w:style>
  <w:style w:type="character" w:customStyle="1" w:styleId="TextodegloboCar7">
    <w:name w:val="Texto de globo Car"/>
    <w:basedOn w:val="Fuentedeprrafopredeter"/>
    <w:uiPriority w:val="99"/>
    <w:semiHidden/>
    <w:rsid w:val="00AD69DC"/>
    <w:rPr>
      <w:rFonts w:ascii="Lucida Grande" w:hAnsi="Lucida Grande"/>
      <w:sz w:val="18"/>
      <w:szCs w:val="18"/>
    </w:rPr>
  </w:style>
  <w:style w:type="character" w:customStyle="1" w:styleId="TextodegloboCar8">
    <w:name w:val="Texto de globo Car"/>
    <w:basedOn w:val="Fuentedeprrafopredeter"/>
    <w:uiPriority w:val="99"/>
    <w:semiHidden/>
    <w:rsid w:val="00510BBC"/>
    <w:rPr>
      <w:rFonts w:ascii="Lucida Grande" w:hAnsi="Lucida Grande"/>
      <w:sz w:val="18"/>
      <w:szCs w:val="18"/>
    </w:rPr>
  </w:style>
  <w:style w:type="character" w:customStyle="1" w:styleId="TextodegloboCar9">
    <w:name w:val="Texto de globo Car"/>
    <w:basedOn w:val="Fuentedeprrafopredeter"/>
    <w:uiPriority w:val="99"/>
    <w:semiHidden/>
    <w:rsid w:val="008F2B4F"/>
    <w:rPr>
      <w:rFonts w:ascii="Lucida Grande" w:hAnsi="Lucida Grande"/>
      <w:sz w:val="18"/>
      <w:szCs w:val="18"/>
    </w:rPr>
  </w:style>
  <w:style w:type="character" w:customStyle="1" w:styleId="TextodegloboCara">
    <w:name w:val="Texto de globo Car"/>
    <w:basedOn w:val="Fuentedeprrafopredeter"/>
    <w:uiPriority w:val="99"/>
    <w:semiHidden/>
    <w:rsid w:val="00DF118F"/>
    <w:rPr>
      <w:rFonts w:ascii="Lucida Grande" w:hAnsi="Lucida Grande"/>
      <w:sz w:val="18"/>
      <w:szCs w:val="18"/>
    </w:rPr>
  </w:style>
  <w:style w:type="character" w:customStyle="1" w:styleId="TextodegloboCarb">
    <w:name w:val="Texto de globo Car"/>
    <w:basedOn w:val="Fuentedeprrafopredeter"/>
    <w:uiPriority w:val="99"/>
    <w:semiHidden/>
    <w:rsid w:val="006C103E"/>
    <w:rPr>
      <w:rFonts w:ascii="Lucida Grande" w:hAnsi="Lucida Grande"/>
      <w:sz w:val="18"/>
      <w:szCs w:val="18"/>
    </w:rPr>
  </w:style>
  <w:style w:type="character" w:customStyle="1" w:styleId="TextodegloboCarc">
    <w:name w:val="Texto de globo Car"/>
    <w:basedOn w:val="Fuentedeprrafopredeter"/>
    <w:uiPriority w:val="99"/>
    <w:semiHidden/>
    <w:rsid w:val="00106EB0"/>
    <w:rPr>
      <w:rFonts w:ascii="Lucida Grande" w:hAnsi="Lucida Grande"/>
      <w:sz w:val="18"/>
      <w:szCs w:val="18"/>
    </w:rPr>
  </w:style>
  <w:style w:type="character" w:customStyle="1" w:styleId="TextodegloboCard">
    <w:name w:val="Texto de globo Car"/>
    <w:basedOn w:val="Fuentedeprrafopredeter"/>
    <w:uiPriority w:val="99"/>
    <w:semiHidden/>
    <w:rsid w:val="00106EB0"/>
    <w:rPr>
      <w:rFonts w:ascii="Lucida Grande" w:hAnsi="Lucida Grande"/>
      <w:sz w:val="18"/>
      <w:szCs w:val="18"/>
    </w:rPr>
  </w:style>
  <w:style w:type="character" w:customStyle="1" w:styleId="TextodegloboCare">
    <w:name w:val="Texto de globo Car"/>
    <w:basedOn w:val="Fuentedeprrafopredeter"/>
    <w:uiPriority w:val="99"/>
    <w:semiHidden/>
    <w:rsid w:val="00804474"/>
    <w:rPr>
      <w:rFonts w:ascii="Lucida Grande" w:hAnsi="Lucida Grande"/>
      <w:sz w:val="18"/>
      <w:szCs w:val="18"/>
    </w:rPr>
  </w:style>
  <w:style w:type="character" w:customStyle="1" w:styleId="TextodegloboCarf">
    <w:name w:val="Texto de globo Car"/>
    <w:basedOn w:val="Fuentedeprrafopredeter"/>
    <w:uiPriority w:val="99"/>
    <w:semiHidden/>
    <w:rsid w:val="00804474"/>
    <w:rPr>
      <w:rFonts w:ascii="Lucida Grande" w:hAnsi="Lucida Grande"/>
      <w:sz w:val="18"/>
      <w:szCs w:val="18"/>
    </w:rPr>
  </w:style>
  <w:style w:type="character" w:customStyle="1" w:styleId="TextodegloboCarf0">
    <w:name w:val="Texto de globo Car"/>
    <w:basedOn w:val="Fuentedeprrafopredeter"/>
    <w:uiPriority w:val="99"/>
    <w:semiHidden/>
    <w:rsid w:val="00273F58"/>
    <w:rPr>
      <w:rFonts w:ascii="Lucida Grande" w:hAnsi="Lucida Grande"/>
      <w:sz w:val="18"/>
      <w:szCs w:val="18"/>
    </w:rPr>
  </w:style>
  <w:style w:type="character" w:customStyle="1" w:styleId="TextodegloboCarf1">
    <w:name w:val="Texto de globo Car"/>
    <w:basedOn w:val="Fuentedeprrafopredeter"/>
    <w:uiPriority w:val="99"/>
    <w:semiHidden/>
    <w:rsid w:val="00EA4202"/>
    <w:rPr>
      <w:rFonts w:ascii="Lucida Grande" w:hAnsi="Lucida Grande"/>
      <w:sz w:val="18"/>
      <w:szCs w:val="18"/>
    </w:rPr>
  </w:style>
  <w:style w:type="character" w:customStyle="1" w:styleId="TextodegloboCarf2">
    <w:name w:val="Texto de globo Car"/>
    <w:basedOn w:val="Fuentedeprrafopredeter"/>
    <w:uiPriority w:val="99"/>
    <w:semiHidden/>
    <w:rsid w:val="00D40808"/>
    <w:rPr>
      <w:rFonts w:ascii="Lucida Grande" w:hAnsi="Lucida Grande"/>
      <w:sz w:val="18"/>
      <w:szCs w:val="18"/>
    </w:rPr>
  </w:style>
  <w:style w:type="character" w:customStyle="1" w:styleId="TextodegloboCarf3">
    <w:name w:val="Texto de globo Car"/>
    <w:basedOn w:val="Fuentedeprrafopredeter"/>
    <w:uiPriority w:val="99"/>
    <w:semiHidden/>
    <w:rsid w:val="00D40808"/>
    <w:rPr>
      <w:rFonts w:ascii="Lucida Grande" w:hAnsi="Lucida Grande"/>
      <w:sz w:val="18"/>
      <w:szCs w:val="18"/>
    </w:rPr>
  </w:style>
  <w:style w:type="character" w:customStyle="1" w:styleId="TextodegloboCarf4">
    <w:name w:val="Texto de globo Car"/>
    <w:basedOn w:val="Fuentedeprrafopredeter"/>
    <w:uiPriority w:val="99"/>
    <w:semiHidden/>
    <w:rsid w:val="00D5515E"/>
    <w:rPr>
      <w:rFonts w:ascii="Lucida Grande" w:hAnsi="Lucida Grande"/>
      <w:sz w:val="18"/>
      <w:szCs w:val="18"/>
    </w:rPr>
  </w:style>
  <w:style w:type="character" w:customStyle="1" w:styleId="TextodegloboCarf5">
    <w:name w:val="Texto de globo Car"/>
    <w:basedOn w:val="Fuentedeprrafopredeter"/>
    <w:uiPriority w:val="99"/>
    <w:semiHidden/>
    <w:rsid w:val="00696C14"/>
    <w:rPr>
      <w:rFonts w:ascii="Lucida Grande" w:hAnsi="Lucida Grande"/>
      <w:sz w:val="18"/>
      <w:szCs w:val="18"/>
    </w:rPr>
  </w:style>
  <w:style w:type="character" w:customStyle="1" w:styleId="TextodegloboCarf6">
    <w:name w:val="Texto de globo Car"/>
    <w:basedOn w:val="Fuentedeprrafopredeter"/>
    <w:uiPriority w:val="99"/>
    <w:semiHidden/>
    <w:rsid w:val="00CD58E7"/>
    <w:rPr>
      <w:rFonts w:ascii="Lucida Grande" w:hAnsi="Lucida Grande"/>
      <w:sz w:val="18"/>
      <w:szCs w:val="18"/>
    </w:rPr>
  </w:style>
  <w:style w:type="character" w:customStyle="1" w:styleId="TextodegloboCarf7">
    <w:name w:val="Texto de globo Car"/>
    <w:basedOn w:val="Fuentedeprrafopredeter"/>
    <w:uiPriority w:val="99"/>
    <w:semiHidden/>
    <w:rsid w:val="00C76D66"/>
    <w:rPr>
      <w:rFonts w:ascii="Lucida Grande" w:hAnsi="Lucida Grande"/>
      <w:sz w:val="18"/>
      <w:szCs w:val="18"/>
    </w:rPr>
  </w:style>
  <w:style w:type="character" w:customStyle="1" w:styleId="TextodegloboCarf8">
    <w:name w:val="Texto de globo Car"/>
    <w:basedOn w:val="Fuentedeprrafopredeter"/>
    <w:uiPriority w:val="99"/>
    <w:semiHidden/>
    <w:rsid w:val="00770562"/>
    <w:rPr>
      <w:rFonts w:ascii="Lucida Grande" w:hAnsi="Lucida Grande"/>
      <w:sz w:val="18"/>
      <w:szCs w:val="18"/>
    </w:rPr>
  </w:style>
  <w:style w:type="character" w:customStyle="1" w:styleId="TextodegloboCarf9">
    <w:name w:val="Texto de globo Car"/>
    <w:basedOn w:val="Fuentedeprrafopredeter"/>
    <w:uiPriority w:val="99"/>
    <w:semiHidden/>
    <w:rsid w:val="00E92022"/>
    <w:rPr>
      <w:rFonts w:ascii="Lucida Grande" w:hAnsi="Lucida Grande"/>
      <w:sz w:val="18"/>
      <w:szCs w:val="18"/>
    </w:rPr>
  </w:style>
  <w:style w:type="character" w:customStyle="1" w:styleId="TextodegloboCarfa">
    <w:name w:val="Texto de globo Car"/>
    <w:basedOn w:val="Fuentedeprrafopredeter"/>
    <w:uiPriority w:val="99"/>
    <w:semiHidden/>
    <w:rsid w:val="00AD3821"/>
    <w:rPr>
      <w:rFonts w:ascii="Lucida Grande" w:hAnsi="Lucida Grande"/>
      <w:sz w:val="18"/>
      <w:szCs w:val="18"/>
    </w:rPr>
  </w:style>
  <w:style w:type="character" w:customStyle="1" w:styleId="TextodegloboCarfb">
    <w:name w:val="Texto de globo Car"/>
    <w:basedOn w:val="Fuentedeprrafopredeter"/>
    <w:uiPriority w:val="99"/>
    <w:semiHidden/>
    <w:rsid w:val="004B0464"/>
    <w:rPr>
      <w:rFonts w:ascii="Lucida Grande" w:hAnsi="Lucida Grande"/>
      <w:sz w:val="18"/>
      <w:szCs w:val="18"/>
    </w:rPr>
  </w:style>
  <w:style w:type="character" w:customStyle="1" w:styleId="TextodegloboCarfc">
    <w:name w:val="Texto de globo Car"/>
    <w:basedOn w:val="Fuentedeprrafopredeter"/>
    <w:uiPriority w:val="99"/>
    <w:semiHidden/>
    <w:rsid w:val="00513DC3"/>
    <w:rPr>
      <w:rFonts w:ascii="Lucida Grande" w:hAnsi="Lucida Grande"/>
      <w:sz w:val="18"/>
      <w:szCs w:val="18"/>
    </w:rPr>
  </w:style>
  <w:style w:type="character" w:customStyle="1" w:styleId="TextodegloboCarfd">
    <w:name w:val="Texto de globo Car"/>
    <w:basedOn w:val="Fuentedeprrafopredeter"/>
    <w:uiPriority w:val="99"/>
    <w:semiHidden/>
    <w:rsid w:val="0022739C"/>
    <w:rPr>
      <w:rFonts w:ascii="Lucida Grande" w:hAnsi="Lucida Grande"/>
      <w:sz w:val="18"/>
      <w:szCs w:val="18"/>
    </w:rPr>
  </w:style>
  <w:style w:type="character" w:customStyle="1" w:styleId="TextodegloboCarfe">
    <w:name w:val="Texto de globo Car"/>
    <w:basedOn w:val="Fuentedeprrafopredeter"/>
    <w:uiPriority w:val="99"/>
    <w:semiHidden/>
    <w:rsid w:val="00D12A64"/>
    <w:rPr>
      <w:rFonts w:ascii="Lucida Grande" w:hAnsi="Lucida Grande"/>
      <w:sz w:val="18"/>
      <w:szCs w:val="18"/>
    </w:rPr>
  </w:style>
  <w:style w:type="character" w:customStyle="1" w:styleId="TextodegloboCarff">
    <w:name w:val="Texto de globo Car"/>
    <w:basedOn w:val="Fuentedeprrafopredeter"/>
    <w:uiPriority w:val="99"/>
    <w:semiHidden/>
    <w:rsid w:val="00D12A64"/>
    <w:rPr>
      <w:rFonts w:ascii="Lucida Grande" w:hAnsi="Lucida Grande"/>
      <w:sz w:val="18"/>
      <w:szCs w:val="18"/>
    </w:rPr>
  </w:style>
  <w:style w:type="character" w:customStyle="1" w:styleId="Ttulo1Car">
    <w:name w:val="Título 1 Car"/>
    <w:basedOn w:val="Fuentedeprrafopredeter"/>
    <w:link w:val="Ttulo1"/>
    <w:uiPriority w:val="9"/>
    <w:rsid w:val="005A5B0C"/>
    <w:rPr>
      <w:rFonts w:asciiTheme="majorHAnsi" w:eastAsiaTheme="majorEastAsia" w:hAnsiTheme="majorHAnsi" w:cstheme="majorBidi"/>
      <w:b/>
      <w:bCs/>
      <w:color w:val="365F91" w:themeColor="accent1" w:themeShade="BF"/>
      <w:sz w:val="28"/>
      <w:szCs w:val="28"/>
      <w:lang w:eastAsia="es-ES_tradnl"/>
    </w:rPr>
  </w:style>
  <w:style w:type="character" w:customStyle="1" w:styleId="Ttulo2Car">
    <w:name w:val="Título 2 Car"/>
    <w:basedOn w:val="Fuentedeprrafopredeter"/>
    <w:link w:val="Ttulo2"/>
    <w:uiPriority w:val="9"/>
    <w:rsid w:val="005A5B0C"/>
    <w:rPr>
      <w:rFonts w:ascii="Cambria" w:eastAsia="Times New Roman" w:hAnsi="Cambria" w:cs="Times New Roman"/>
      <w:b/>
      <w:bCs/>
      <w:i/>
      <w:iCs/>
      <w:sz w:val="28"/>
      <w:szCs w:val="28"/>
      <w:lang w:val="es-ES" w:eastAsia="es-ES_tradnl"/>
    </w:rPr>
  </w:style>
  <w:style w:type="character" w:customStyle="1" w:styleId="Ttulo3Car">
    <w:name w:val="Título 3 Car"/>
    <w:basedOn w:val="Fuentedeprrafopredeter"/>
    <w:link w:val="Ttulo3"/>
    <w:uiPriority w:val="9"/>
    <w:rsid w:val="005A5B0C"/>
    <w:rPr>
      <w:rFonts w:asciiTheme="majorHAnsi" w:eastAsiaTheme="majorEastAsia" w:hAnsiTheme="majorHAnsi" w:cstheme="majorBidi"/>
      <w:b/>
      <w:bCs/>
      <w:color w:val="4F81BD" w:themeColor="accent1"/>
      <w:lang w:eastAsia="es-ES_tradnl"/>
    </w:rPr>
  </w:style>
  <w:style w:type="character" w:customStyle="1" w:styleId="TextodegloboCar1">
    <w:name w:val="Texto de globo Car1"/>
    <w:basedOn w:val="Fuentedeprrafopredeter"/>
    <w:link w:val="Textodeglobo"/>
    <w:uiPriority w:val="99"/>
    <w:semiHidden/>
    <w:rsid w:val="005A5B0C"/>
    <w:rPr>
      <w:rFonts w:ascii="Tahoma" w:eastAsiaTheme="minorEastAsia" w:hAnsi="Tahoma" w:cs="Tahoma"/>
      <w:sz w:val="16"/>
      <w:szCs w:val="16"/>
      <w:lang w:eastAsia="es-ES_tradnl"/>
    </w:rPr>
  </w:style>
  <w:style w:type="character" w:customStyle="1" w:styleId="TextodegloboCarff0">
    <w:name w:val="Texto de globo Car"/>
    <w:basedOn w:val="Fuentedeprrafopredeter"/>
    <w:uiPriority w:val="99"/>
    <w:rsid w:val="005A5B0C"/>
    <w:rPr>
      <w:rFonts w:ascii="Lucida Grande" w:eastAsiaTheme="minorEastAsia" w:hAnsi="Lucida Grande"/>
      <w:sz w:val="18"/>
      <w:szCs w:val="18"/>
      <w:lang w:eastAsia="es-ES_tradnl"/>
    </w:rPr>
  </w:style>
  <w:style w:type="paragraph" w:customStyle="1" w:styleId="Default">
    <w:name w:val="Default"/>
    <w:rsid w:val="005A5B0C"/>
    <w:pPr>
      <w:autoSpaceDE w:val="0"/>
      <w:autoSpaceDN w:val="0"/>
      <w:adjustRightInd w:val="0"/>
    </w:pPr>
    <w:rPr>
      <w:rFonts w:ascii="Arial" w:hAnsi="Arial" w:cs="Arial"/>
      <w:color w:val="000000"/>
      <w:lang w:val="es-CO"/>
    </w:rPr>
  </w:style>
  <w:style w:type="paragraph" w:styleId="Prrafodelista">
    <w:name w:val="List Paragraph"/>
    <w:basedOn w:val="Normal"/>
    <w:uiPriority w:val="34"/>
    <w:qFormat/>
    <w:rsid w:val="005A5B0C"/>
    <w:pPr>
      <w:ind w:left="720"/>
      <w:contextualSpacing/>
    </w:pPr>
    <w:rPr>
      <w:rFonts w:ascii="Times New Roman" w:eastAsia="Times New Roman" w:hAnsi="Times New Roman" w:cs="Times New Roman"/>
      <w:lang w:eastAsia="es-CO"/>
    </w:rPr>
  </w:style>
  <w:style w:type="table" w:styleId="Tablaconcuadrcula">
    <w:name w:val="Table Grid"/>
    <w:basedOn w:val="Tablanormal"/>
    <w:uiPriority w:val="59"/>
    <w:rsid w:val="005A5B0C"/>
    <w:rPr>
      <w:sz w:val="22"/>
      <w:szCs w:val="22"/>
      <w:lang w:val="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notaalpie">
    <w:name w:val="footnote reference"/>
    <w:aliases w:val="referencia nota al pie,Ref,de nota al pie,Ref. de nota al pie2,Nota de pie,Texto de nota al pie,normal"/>
    <w:basedOn w:val="Fuentedeprrafopredeter"/>
    <w:rsid w:val="005A5B0C"/>
    <w:rPr>
      <w:vertAlign w:val="superscript"/>
    </w:rPr>
  </w:style>
  <w:style w:type="character" w:styleId="Hipervnculo">
    <w:name w:val="Hyperlink"/>
    <w:basedOn w:val="Fuentedeprrafopredeter"/>
    <w:uiPriority w:val="99"/>
    <w:unhideWhenUsed/>
    <w:rsid w:val="005A5B0C"/>
    <w:rPr>
      <w:color w:val="0000FF"/>
      <w:u w:val="single"/>
    </w:rPr>
  </w:style>
  <w:style w:type="paragraph" w:styleId="Textoindependiente2">
    <w:name w:val="Body Text 2"/>
    <w:basedOn w:val="Normal"/>
    <w:link w:val="Textoindependiente2Car"/>
    <w:rsid w:val="005A5B0C"/>
    <w:pPr>
      <w:jc w:val="both"/>
    </w:pPr>
    <w:rPr>
      <w:rFonts w:ascii="Arial" w:eastAsia="Times New Roman" w:hAnsi="Arial" w:cs="Arial"/>
      <w:sz w:val="21"/>
      <w:szCs w:val="20"/>
      <w:lang w:eastAsia="es-ES"/>
    </w:rPr>
  </w:style>
  <w:style w:type="character" w:customStyle="1" w:styleId="Textoindependiente2Car">
    <w:name w:val="Texto independiente 2 Car"/>
    <w:basedOn w:val="Fuentedeprrafopredeter"/>
    <w:link w:val="Textoindependiente2"/>
    <w:rsid w:val="005A5B0C"/>
    <w:rPr>
      <w:rFonts w:ascii="Arial" w:eastAsia="Times New Roman" w:hAnsi="Arial" w:cs="Arial"/>
      <w:sz w:val="21"/>
      <w:szCs w:val="20"/>
      <w:lang w:eastAsia="es-ES"/>
    </w:rPr>
  </w:style>
  <w:style w:type="paragraph" w:styleId="Epgrafe">
    <w:name w:val="caption"/>
    <w:aliases w:val=" Car1 Car Car Car, Car Car11 Car,Epígrafe1, Car1 Car Car Car1 Car, Car1 Car Car Car1, Car Car11 Car Car,Car1 Car Car Car,Car Car11 Car,Car1 Car Car Car1 Car,Car1 Car Car Car1,Car Car11 Car Car"/>
    <w:basedOn w:val="Normal"/>
    <w:next w:val="Normal"/>
    <w:link w:val="EpgrafeCar"/>
    <w:uiPriority w:val="35"/>
    <w:qFormat/>
    <w:rsid w:val="005A5B0C"/>
    <w:pPr>
      <w:jc w:val="center"/>
    </w:pPr>
    <w:rPr>
      <w:rFonts w:ascii="Times New Roman" w:eastAsia="Times New Roman" w:hAnsi="Times New Roman" w:cs="Times New Roman"/>
      <w:b/>
      <w:bCs/>
      <w:sz w:val="20"/>
      <w:szCs w:val="20"/>
      <w:lang w:val="es-ES" w:eastAsia="es-ES"/>
    </w:rPr>
  </w:style>
  <w:style w:type="character" w:customStyle="1" w:styleId="EpgrafeCar">
    <w:name w:val="Epígrafe Car"/>
    <w:aliases w:val=" Car1 Car Car Car Car, Car Car11 Car Car1,Epígrafe1 Car, Car1 Car Car Car1 Car Car, Car1 Car Car Car1 Car1, Car Car11 Car Car Car,Car1 Car Car Car Car,Car Car11 Car Car1,Car1 Car Car Car1 Car Car,Car1 Car Car Car1 Car1,Car Car11 Car Car Car"/>
    <w:basedOn w:val="Fuentedeprrafopredeter"/>
    <w:link w:val="Epgrafe"/>
    <w:rsid w:val="005A5B0C"/>
    <w:rPr>
      <w:rFonts w:ascii="Times New Roman" w:eastAsia="Times New Roman" w:hAnsi="Times New Roman" w:cs="Times New Roman"/>
      <w:b/>
      <w:bCs/>
      <w:sz w:val="20"/>
      <w:szCs w:val="20"/>
      <w:lang w:val="es-ES" w:eastAsia="es-ES"/>
    </w:rPr>
  </w:style>
  <w:style w:type="paragraph" w:styleId="Textonotapie">
    <w:name w:val="footnote text"/>
    <w:aliases w:val="Footnote Text Char Char Char Char Char,Footnote Text Char Char Char Char,Footnote reference,FA Fu, Car1,Texto nota pie Car1,Texto nota pie Car Car, Car1 Car2,ft,texto de nota al pie,Nota a pie/Bibliog,texto de nota al pie Car Car,ft1"/>
    <w:basedOn w:val="Normal"/>
    <w:link w:val="TextonotapieCar"/>
    <w:uiPriority w:val="99"/>
    <w:rsid w:val="005A5B0C"/>
    <w:rPr>
      <w:rFonts w:ascii="Times New Roman" w:eastAsia="Times New Roman" w:hAnsi="Times New Roman" w:cs="Times New Roman"/>
      <w:sz w:val="20"/>
      <w:szCs w:val="20"/>
      <w:lang w:val="es-ES" w:eastAsia="es-MX"/>
    </w:rPr>
  </w:style>
  <w:style w:type="character" w:customStyle="1" w:styleId="TextonotapieCar">
    <w:name w:val="Texto nota pie Car"/>
    <w:aliases w:val="Footnote Text Char Char Char Char Char Car,Footnote Text Char Char Char Char Car,Footnote reference Car,FA Fu Car, Car1 Car,Texto nota pie Car1 Car,Texto nota pie Car Car Car, Car1 Car2 Car,ft Car,texto de nota al pie Car,ft1 Car"/>
    <w:basedOn w:val="Fuentedeprrafopredeter"/>
    <w:link w:val="Textonotapie"/>
    <w:uiPriority w:val="99"/>
    <w:rsid w:val="005A5B0C"/>
    <w:rPr>
      <w:rFonts w:ascii="Times New Roman" w:eastAsia="Times New Roman" w:hAnsi="Times New Roman" w:cs="Times New Roman"/>
      <w:sz w:val="20"/>
      <w:szCs w:val="20"/>
      <w:lang w:val="es-ES" w:eastAsia="es-MX"/>
    </w:rPr>
  </w:style>
  <w:style w:type="paragraph" w:styleId="Encabezado">
    <w:name w:val="header"/>
    <w:basedOn w:val="Normal"/>
    <w:link w:val="EncabezadoCar"/>
    <w:uiPriority w:val="99"/>
    <w:semiHidden/>
    <w:unhideWhenUsed/>
    <w:rsid w:val="005A5B0C"/>
    <w:pPr>
      <w:tabs>
        <w:tab w:val="center" w:pos="4419"/>
        <w:tab w:val="right" w:pos="8838"/>
      </w:tabs>
    </w:pPr>
  </w:style>
  <w:style w:type="character" w:customStyle="1" w:styleId="EncabezadoCar">
    <w:name w:val="Encabezado Car"/>
    <w:basedOn w:val="Fuentedeprrafopredeter"/>
    <w:link w:val="Encabezado"/>
    <w:uiPriority w:val="99"/>
    <w:semiHidden/>
    <w:rsid w:val="005A5B0C"/>
    <w:rPr>
      <w:rFonts w:eastAsiaTheme="minorEastAsia"/>
      <w:lang w:eastAsia="es-ES_tradnl"/>
    </w:rPr>
  </w:style>
  <w:style w:type="paragraph" w:styleId="Piedepgina">
    <w:name w:val="footer"/>
    <w:basedOn w:val="Normal"/>
    <w:link w:val="PiedepginaCar"/>
    <w:uiPriority w:val="99"/>
    <w:unhideWhenUsed/>
    <w:rsid w:val="005A5B0C"/>
    <w:pPr>
      <w:tabs>
        <w:tab w:val="center" w:pos="4419"/>
        <w:tab w:val="right" w:pos="8838"/>
      </w:tabs>
    </w:pPr>
  </w:style>
  <w:style w:type="character" w:customStyle="1" w:styleId="PiedepginaCar">
    <w:name w:val="Pie de página Car"/>
    <w:basedOn w:val="Fuentedeprrafopredeter"/>
    <w:link w:val="Piedepgina"/>
    <w:uiPriority w:val="99"/>
    <w:rsid w:val="005A5B0C"/>
    <w:rPr>
      <w:rFonts w:eastAsiaTheme="minorEastAsia"/>
      <w:lang w:eastAsia="es-ES_tradnl"/>
    </w:rPr>
  </w:style>
  <w:style w:type="paragraph" w:styleId="Textocomentario">
    <w:name w:val="annotation text"/>
    <w:basedOn w:val="Normal"/>
    <w:link w:val="TextocomentarioCar"/>
    <w:uiPriority w:val="99"/>
    <w:rsid w:val="005A5B0C"/>
    <w:pPr>
      <w:jc w:val="both"/>
    </w:pPr>
    <w:rPr>
      <w:rFonts w:ascii="Arial" w:eastAsia="Times New Roman" w:hAnsi="Arial" w:cs="Times New Roman"/>
      <w:sz w:val="20"/>
      <w:szCs w:val="20"/>
    </w:rPr>
  </w:style>
  <w:style w:type="character" w:customStyle="1" w:styleId="TextocomentarioCar">
    <w:name w:val="Texto comentario Car"/>
    <w:basedOn w:val="Fuentedeprrafopredeter"/>
    <w:link w:val="Textocomentario"/>
    <w:uiPriority w:val="99"/>
    <w:rsid w:val="005A5B0C"/>
    <w:rPr>
      <w:rFonts w:ascii="Arial" w:eastAsia="Times New Roman" w:hAnsi="Arial" w:cs="Times New Roman"/>
      <w:sz w:val="20"/>
      <w:szCs w:val="20"/>
      <w:lang w:eastAsia="es-ES_tradnl"/>
    </w:rPr>
  </w:style>
  <w:style w:type="paragraph" w:customStyle="1" w:styleId="Listavistosa-nfasis12">
    <w:name w:val="Lista vistosa - Énfasis 12"/>
    <w:basedOn w:val="Normal"/>
    <w:qFormat/>
    <w:rsid w:val="005A5B0C"/>
    <w:pPr>
      <w:ind w:left="720"/>
      <w:contextualSpacing/>
    </w:pPr>
    <w:rPr>
      <w:rFonts w:ascii="Calibri" w:eastAsia="Calibri" w:hAnsi="Calibri" w:cs="Times New Roman"/>
      <w:lang w:val="en-US"/>
    </w:rPr>
  </w:style>
  <w:style w:type="paragraph" w:styleId="NormalWeb">
    <w:name w:val="Normal (Web)"/>
    <w:basedOn w:val="Normal"/>
    <w:uiPriority w:val="99"/>
    <w:unhideWhenUsed/>
    <w:rsid w:val="005A5B0C"/>
    <w:pPr>
      <w:spacing w:before="100" w:beforeAutospacing="1" w:after="100" w:afterAutospacing="1"/>
    </w:pPr>
    <w:rPr>
      <w:rFonts w:ascii="Times New Roman" w:eastAsia="Times New Roman" w:hAnsi="Times New Roman" w:cs="Times New Roman"/>
      <w:lang w:eastAsia="es-CO"/>
    </w:rPr>
  </w:style>
  <w:style w:type="character" w:styleId="Refdecomentario">
    <w:name w:val="annotation reference"/>
    <w:basedOn w:val="Fuentedeprrafopredeter"/>
    <w:uiPriority w:val="99"/>
    <w:unhideWhenUsed/>
    <w:rsid w:val="005A5B0C"/>
    <w:rPr>
      <w:sz w:val="16"/>
      <w:szCs w:val="16"/>
    </w:rPr>
  </w:style>
  <w:style w:type="paragraph" w:styleId="Asuntodelcomentario">
    <w:name w:val="annotation subject"/>
    <w:basedOn w:val="Textocomentario"/>
    <w:next w:val="Textocomentario"/>
    <w:link w:val="AsuntodelcomentarioCar"/>
    <w:uiPriority w:val="99"/>
    <w:semiHidden/>
    <w:unhideWhenUsed/>
    <w:rsid w:val="005A5B0C"/>
    <w:pPr>
      <w:spacing w:after="200"/>
      <w:jc w:val="left"/>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5A5B0C"/>
    <w:rPr>
      <w:rFonts w:ascii="Arial" w:eastAsia="Times New Roman" w:hAnsi="Arial" w:cs="Times New Roman"/>
      <w:b/>
      <w:bCs/>
      <w:sz w:val="20"/>
      <w:szCs w:val="20"/>
      <w:lang w:eastAsia="es-ES_tradnl"/>
    </w:rPr>
  </w:style>
  <w:style w:type="character" w:customStyle="1" w:styleId="A3">
    <w:name w:val="A3"/>
    <w:uiPriority w:val="99"/>
    <w:rsid w:val="005A5B0C"/>
    <w:rPr>
      <w:rFonts w:cs="RijksoverheidSansText"/>
      <w:b/>
      <w:bCs/>
      <w:color w:val="000000"/>
    </w:rPr>
  </w:style>
  <w:style w:type="paragraph" w:styleId="Subttulo">
    <w:name w:val="Subtitle"/>
    <w:basedOn w:val="Normal"/>
    <w:next w:val="Normal"/>
    <w:link w:val="SubttuloCar"/>
    <w:uiPriority w:val="11"/>
    <w:qFormat/>
    <w:rsid w:val="005A5B0C"/>
    <w:pPr>
      <w:spacing w:after="60"/>
      <w:jc w:val="center"/>
      <w:outlineLvl w:val="1"/>
    </w:pPr>
    <w:rPr>
      <w:rFonts w:ascii="Maiandra GD" w:eastAsia="Times New Roman" w:hAnsi="Maiandra GD" w:cs="Times New Roman"/>
      <w:b/>
      <w:lang w:val="es-ES" w:eastAsia="es-ES"/>
    </w:rPr>
  </w:style>
  <w:style w:type="character" w:customStyle="1" w:styleId="SubttuloCar">
    <w:name w:val="Subtítulo Car"/>
    <w:basedOn w:val="Fuentedeprrafopredeter"/>
    <w:link w:val="Subttulo"/>
    <w:uiPriority w:val="11"/>
    <w:rsid w:val="005A5B0C"/>
    <w:rPr>
      <w:rFonts w:ascii="Maiandra GD" w:eastAsia="Times New Roman" w:hAnsi="Maiandra GD" w:cs="Times New Roman"/>
      <w:b/>
      <w:lang w:val="es-ES" w:eastAsia="es-ES"/>
    </w:rPr>
  </w:style>
  <w:style w:type="paragraph" w:styleId="Textoindependiente">
    <w:name w:val="Body Text"/>
    <w:basedOn w:val="Normal"/>
    <w:link w:val="TextoindependienteCar"/>
    <w:uiPriority w:val="99"/>
    <w:unhideWhenUsed/>
    <w:rsid w:val="005A5B0C"/>
    <w:pPr>
      <w:spacing w:after="120"/>
    </w:pPr>
  </w:style>
  <w:style w:type="character" w:customStyle="1" w:styleId="TextoindependienteCar">
    <w:name w:val="Texto independiente Car"/>
    <w:basedOn w:val="Fuentedeprrafopredeter"/>
    <w:link w:val="Textoindependiente"/>
    <w:uiPriority w:val="99"/>
    <w:rsid w:val="005A5B0C"/>
    <w:rPr>
      <w:rFonts w:eastAsiaTheme="minorEastAsia"/>
      <w:lang w:eastAsia="es-ES_tradnl"/>
    </w:rPr>
  </w:style>
  <w:style w:type="paragraph" w:styleId="TtulodeTDC">
    <w:name w:val="TOC Heading"/>
    <w:basedOn w:val="Ttulo1"/>
    <w:next w:val="Normal"/>
    <w:uiPriority w:val="39"/>
    <w:semiHidden/>
    <w:unhideWhenUsed/>
    <w:qFormat/>
    <w:rsid w:val="005A5B0C"/>
    <w:pPr>
      <w:outlineLvl w:val="9"/>
    </w:pPr>
    <w:rPr>
      <w:lang w:val="es-ES"/>
    </w:rPr>
  </w:style>
  <w:style w:type="paragraph" w:styleId="TDC1">
    <w:name w:val="toc 1"/>
    <w:basedOn w:val="Normal"/>
    <w:next w:val="Normal"/>
    <w:autoRedefine/>
    <w:uiPriority w:val="39"/>
    <w:unhideWhenUsed/>
    <w:rsid w:val="005A5B0C"/>
    <w:pPr>
      <w:spacing w:before="120"/>
    </w:pPr>
    <w:rPr>
      <w:b/>
    </w:rPr>
  </w:style>
  <w:style w:type="paragraph" w:styleId="TDC2">
    <w:name w:val="toc 2"/>
    <w:basedOn w:val="Normal"/>
    <w:next w:val="Normal"/>
    <w:autoRedefine/>
    <w:uiPriority w:val="39"/>
    <w:unhideWhenUsed/>
    <w:rsid w:val="005A5B0C"/>
    <w:pPr>
      <w:ind w:left="220"/>
    </w:pPr>
    <w:rPr>
      <w:b/>
    </w:rPr>
  </w:style>
  <w:style w:type="paragraph" w:styleId="TDC3">
    <w:name w:val="toc 3"/>
    <w:basedOn w:val="Normal"/>
    <w:next w:val="Normal"/>
    <w:autoRedefine/>
    <w:uiPriority w:val="39"/>
    <w:unhideWhenUsed/>
    <w:rsid w:val="005A5B0C"/>
    <w:pPr>
      <w:ind w:left="440"/>
    </w:pPr>
  </w:style>
  <w:style w:type="paragraph" w:customStyle="1" w:styleId="NormalDistrito">
    <w:name w:val="Normal Distrito"/>
    <w:basedOn w:val="Normal"/>
    <w:link w:val="NormalDistritoCar"/>
    <w:uiPriority w:val="99"/>
    <w:rsid w:val="005A5B0C"/>
    <w:pPr>
      <w:jc w:val="both"/>
    </w:pPr>
    <w:rPr>
      <w:rFonts w:ascii="Times New Roman" w:eastAsia="Times New Roman" w:hAnsi="Times New Roman" w:cs="Times New Roman"/>
      <w:lang w:val="es-ES"/>
    </w:rPr>
  </w:style>
  <w:style w:type="character" w:customStyle="1" w:styleId="NormalDistritoCar">
    <w:name w:val="Normal Distrito Car"/>
    <w:basedOn w:val="Fuentedeprrafopredeter"/>
    <w:link w:val="NormalDistrito"/>
    <w:uiPriority w:val="99"/>
    <w:locked/>
    <w:rsid w:val="005A5B0C"/>
    <w:rPr>
      <w:rFonts w:ascii="Times New Roman" w:eastAsia="Times New Roman" w:hAnsi="Times New Roman" w:cs="Times New Roman"/>
      <w:lang w:val="es-ES" w:eastAsia="es-ES_tradnl"/>
    </w:rPr>
  </w:style>
  <w:style w:type="character" w:styleId="Textoennegrita">
    <w:name w:val="Strong"/>
    <w:basedOn w:val="Fuentedeprrafopredeter"/>
    <w:uiPriority w:val="22"/>
    <w:qFormat/>
    <w:rsid w:val="005A5B0C"/>
    <w:rPr>
      <w:b/>
      <w:bCs/>
    </w:rPr>
  </w:style>
  <w:style w:type="paragraph" w:styleId="TDC4">
    <w:name w:val="toc 4"/>
    <w:basedOn w:val="Normal"/>
    <w:next w:val="Normal"/>
    <w:autoRedefine/>
    <w:uiPriority w:val="39"/>
    <w:semiHidden/>
    <w:unhideWhenUsed/>
    <w:rsid w:val="005A5B0C"/>
    <w:pPr>
      <w:ind w:left="660"/>
    </w:pPr>
    <w:rPr>
      <w:sz w:val="20"/>
      <w:szCs w:val="20"/>
    </w:rPr>
  </w:style>
  <w:style w:type="paragraph" w:styleId="TDC5">
    <w:name w:val="toc 5"/>
    <w:basedOn w:val="Normal"/>
    <w:next w:val="Normal"/>
    <w:autoRedefine/>
    <w:uiPriority w:val="39"/>
    <w:semiHidden/>
    <w:unhideWhenUsed/>
    <w:rsid w:val="005A5B0C"/>
    <w:pPr>
      <w:ind w:left="880"/>
    </w:pPr>
    <w:rPr>
      <w:sz w:val="20"/>
      <w:szCs w:val="20"/>
    </w:rPr>
  </w:style>
  <w:style w:type="paragraph" w:styleId="TDC6">
    <w:name w:val="toc 6"/>
    <w:basedOn w:val="Normal"/>
    <w:next w:val="Normal"/>
    <w:autoRedefine/>
    <w:uiPriority w:val="39"/>
    <w:semiHidden/>
    <w:unhideWhenUsed/>
    <w:rsid w:val="005A5B0C"/>
    <w:pPr>
      <w:ind w:left="1100"/>
    </w:pPr>
    <w:rPr>
      <w:sz w:val="20"/>
      <w:szCs w:val="20"/>
    </w:rPr>
  </w:style>
  <w:style w:type="paragraph" w:styleId="TDC7">
    <w:name w:val="toc 7"/>
    <w:basedOn w:val="Normal"/>
    <w:next w:val="Normal"/>
    <w:autoRedefine/>
    <w:uiPriority w:val="39"/>
    <w:semiHidden/>
    <w:unhideWhenUsed/>
    <w:rsid w:val="005A5B0C"/>
    <w:pPr>
      <w:ind w:left="1320"/>
    </w:pPr>
    <w:rPr>
      <w:sz w:val="20"/>
      <w:szCs w:val="20"/>
    </w:rPr>
  </w:style>
  <w:style w:type="paragraph" w:styleId="TDC8">
    <w:name w:val="toc 8"/>
    <w:basedOn w:val="Normal"/>
    <w:next w:val="Normal"/>
    <w:autoRedefine/>
    <w:uiPriority w:val="39"/>
    <w:semiHidden/>
    <w:unhideWhenUsed/>
    <w:rsid w:val="005A5B0C"/>
    <w:pPr>
      <w:ind w:left="1540"/>
    </w:pPr>
    <w:rPr>
      <w:sz w:val="20"/>
      <w:szCs w:val="20"/>
    </w:rPr>
  </w:style>
  <w:style w:type="paragraph" w:styleId="TDC9">
    <w:name w:val="toc 9"/>
    <w:basedOn w:val="Normal"/>
    <w:next w:val="Normal"/>
    <w:autoRedefine/>
    <w:uiPriority w:val="39"/>
    <w:semiHidden/>
    <w:unhideWhenUsed/>
    <w:rsid w:val="005A5B0C"/>
    <w:pPr>
      <w:ind w:left="1760"/>
    </w:pPr>
    <w:rPr>
      <w:sz w:val="20"/>
      <w:szCs w:val="20"/>
    </w:rPr>
  </w:style>
  <w:style w:type="character" w:styleId="Hipervnculovisitado">
    <w:name w:val="FollowedHyperlink"/>
    <w:basedOn w:val="Fuentedeprrafopredeter"/>
    <w:uiPriority w:val="99"/>
    <w:rsid w:val="005A5B0C"/>
    <w:rPr>
      <w:color w:val="800080"/>
      <w:u w:val="single"/>
    </w:rPr>
  </w:style>
  <w:style w:type="paragraph" w:customStyle="1" w:styleId="font5">
    <w:name w:val="font5"/>
    <w:basedOn w:val="Normal"/>
    <w:rsid w:val="005A5B0C"/>
    <w:pPr>
      <w:spacing w:beforeLines="1" w:afterLines="1"/>
    </w:pPr>
    <w:rPr>
      <w:rFonts w:ascii="Arial" w:hAnsi="Arial"/>
      <w:sz w:val="16"/>
      <w:szCs w:val="16"/>
    </w:rPr>
  </w:style>
  <w:style w:type="paragraph" w:customStyle="1" w:styleId="xl78">
    <w:name w:val="xl78"/>
    <w:basedOn w:val="Normal"/>
    <w:rsid w:val="005A5B0C"/>
    <w:pPr>
      <w:pBdr>
        <w:top w:val="single" w:sz="4" w:space="0" w:color="auto"/>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79">
    <w:name w:val="xl79"/>
    <w:basedOn w:val="Normal"/>
    <w:rsid w:val="005A5B0C"/>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New Roman" w:hAnsi="Times New Roman"/>
      <w:color w:val="000000"/>
      <w:sz w:val="20"/>
      <w:szCs w:val="20"/>
    </w:rPr>
  </w:style>
  <w:style w:type="paragraph" w:customStyle="1" w:styleId="xl80">
    <w:name w:val="xl80"/>
    <w:basedOn w:val="Normal"/>
    <w:rsid w:val="005A5B0C"/>
    <w:pPr>
      <w:pBdr>
        <w:top w:val="single" w:sz="4" w:space="0" w:color="auto"/>
        <w:left w:val="single" w:sz="4" w:space="0" w:color="auto"/>
        <w:bottom w:val="single" w:sz="4" w:space="0" w:color="auto"/>
        <w:right w:val="single" w:sz="4" w:space="0" w:color="auto"/>
      </w:pBdr>
      <w:spacing w:beforeLines="1" w:afterLines="1"/>
      <w:jc w:val="both"/>
      <w:textAlignment w:val="center"/>
    </w:pPr>
    <w:rPr>
      <w:rFonts w:ascii="Times New Roman" w:hAnsi="Times New Roman"/>
      <w:color w:val="000000"/>
      <w:sz w:val="20"/>
      <w:szCs w:val="20"/>
    </w:rPr>
  </w:style>
  <w:style w:type="paragraph" w:customStyle="1" w:styleId="xl81">
    <w:name w:val="xl81"/>
    <w:basedOn w:val="Normal"/>
    <w:rsid w:val="005A5B0C"/>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New Roman" w:hAnsi="Times New Roman"/>
      <w:color w:val="000000"/>
      <w:sz w:val="20"/>
      <w:szCs w:val="20"/>
    </w:rPr>
  </w:style>
  <w:style w:type="paragraph" w:customStyle="1" w:styleId="xl82">
    <w:name w:val="xl82"/>
    <w:basedOn w:val="Normal"/>
    <w:rsid w:val="005A5B0C"/>
    <w:pPr>
      <w:pBdr>
        <w:top w:val="single" w:sz="4" w:space="0" w:color="auto"/>
        <w:left w:val="single" w:sz="4" w:space="0" w:color="auto"/>
        <w:bottom w:val="single" w:sz="4" w:space="0" w:color="auto"/>
        <w:right w:val="single" w:sz="4" w:space="0" w:color="auto"/>
      </w:pBdr>
      <w:spacing w:beforeLines="1" w:afterLines="1"/>
    </w:pPr>
    <w:rPr>
      <w:rFonts w:ascii="Times New Roman" w:hAnsi="Times New Roman"/>
      <w:color w:val="000000"/>
      <w:sz w:val="20"/>
      <w:szCs w:val="20"/>
    </w:rPr>
  </w:style>
  <w:style w:type="paragraph" w:customStyle="1" w:styleId="xl83">
    <w:name w:val="xl83"/>
    <w:basedOn w:val="Normal"/>
    <w:rsid w:val="005A5B0C"/>
    <w:pPr>
      <w:pBdr>
        <w:top w:val="single" w:sz="4" w:space="0" w:color="auto"/>
        <w:left w:val="single" w:sz="4" w:space="0" w:color="auto"/>
        <w:bottom w:val="single" w:sz="4" w:space="0" w:color="auto"/>
        <w:right w:val="single" w:sz="4" w:space="0" w:color="auto"/>
      </w:pBdr>
      <w:spacing w:beforeLines="1" w:afterLines="1"/>
      <w:jc w:val="center"/>
    </w:pPr>
    <w:rPr>
      <w:rFonts w:ascii="Arial" w:hAnsi="Arial"/>
      <w:color w:val="000000"/>
      <w:sz w:val="20"/>
      <w:szCs w:val="20"/>
    </w:rPr>
  </w:style>
  <w:style w:type="paragraph" w:customStyle="1" w:styleId="xl84">
    <w:name w:val="xl84"/>
    <w:basedOn w:val="Normal"/>
    <w:rsid w:val="005A5B0C"/>
    <w:pPr>
      <w:pBdr>
        <w:top w:val="single" w:sz="4" w:space="0" w:color="auto"/>
        <w:left w:val="single" w:sz="4" w:space="0" w:color="auto"/>
        <w:bottom w:val="single" w:sz="4" w:space="0" w:color="auto"/>
        <w:right w:val="single" w:sz="4" w:space="0" w:color="auto"/>
      </w:pBdr>
      <w:spacing w:beforeLines="1" w:afterLines="1"/>
      <w:jc w:val="right"/>
      <w:textAlignment w:val="center"/>
    </w:pPr>
    <w:rPr>
      <w:rFonts w:ascii="Times New Roman" w:hAnsi="Times New Roman"/>
      <w:color w:val="000000"/>
      <w:sz w:val="20"/>
      <w:szCs w:val="20"/>
    </w:rPr>
  </w:style>
  <w:style w:type="paragraph" w:customStyle="1" w:styleId="xl85">
    <w:name w:val="xl85"/>
    <w:basedOn w:val="Normal"/>
    <w:rsid w:val="005A5B0C"/>
    <w:pPr>
      <w:pBdr>
        <w:top w:val="single" w:sz="4" w:space="0" w:color="auto"/>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86">
    <w:name w:val="xl86"/>
    <w:basedOn w:val="Normal"/>
    <w:rsid w:val="005A5B0C"/>
    <w:pPr>
      <w:pBdr>
        <w:top w:val="single" w:sz="4" w:space="0" w:color="auto"/>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87">
    <w:name w:val="xl87"/>
    <w:basedOn w:val="Normal"/>
    <w:rsid w:val="005A5B0C"/>
    <w:pPr>
      <w:pBdr>
        <w:top w:val="single" w:sz="4" w:space="0" w:color="auto"/>
        <w:left w:val="single" w:sz="4" w:space="0" w:color="auto"/>
        <w:bottom w:val="single" w:sz="4" w:space="0" w:color="auto"/>
        <w:right w:val="single" w:sz="4" w:space="0" w:color="auto"/>
      </w:pBdr>
      <w:spacing w:beforeLines="1" w:afterLines="1"/>
      <w:jc w:val="right"/>
      <w:textAlignment w:val="center"/>
    </w:pPr>
    <w:rPr>
      <w:rFonts w:ascii="Times New Roman" w:hAnsi="Times New Roman"/>
      <w:color w:val="000000"/>
      <w:sz w:val="20"/>
      <w:szCs w:val="20"/>
    </w:rPr>
  </w:style>
  <w:style w:type="paragraph" w:customStyle="1" w:styleId="xl88">
    <w:name w:val="xl88"/>
    <w:basedOn w:val="Normal"/>
    <w:rsid w:val="005A5B0C"/>
    <w:pPr>
      <w:pBdr>
        <w:top w:val="single" w:sz="4" w:space="0" w:color="auto"/>
        <w:left w:val="single" w:sz="4" w:space="0" w:color="auto"/>
        <w:right w:val="single" w:sz="4" w:space="0" w:color="auto"/>
      </w:pBdr>
      <w:spacing w:beforeLines="1" w:afterLines="1"/>
      <w:jc w:val="both"/>
      <w:textAlignment w:val="center"/>
    </w:pPr>
    <w:rPr>
      <w:rFonts w:ascii="Times New Roman" w:hAnsi="Times New Roman"/>
      <w:color w:val="000000"/>
      <w:sz w:val="20"/>
      <w:szCs w:val="20"/>
    </w:rPr>
  </w:style>
  <w:style w:type="paragraph" w:customStyle="1" w:styleId="xl89">
    <w:name w:val="xl89"/>
    <w:basedOn w:val="Normal"/>
    <w:rsid w:val="005A5B0C"/>
    <w:pPr>
      <w:pBdr>
        <w:top w:val="single" w:sz="4" w:space="0" w:color="auto"/>
        <w:left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90">
    <w:name w:val="xl90"/>
    <w:basedOn w:val="Normal"/>
    <w:rsid w:val="005A5B0C"/>
    <w:pPr>
      <w:pBdr>
        <w:top w:val="single" w:sz="4" w:space="0" w:color="auto"/>
        <w:left w:val="single" w:sz="4" w:space="0" w:color="auto"/>
        <w:right w:val="single" w:sz="4" w:space="0" w:color="auto"/>
      </w:pBdr>
      <w:spacing w:beforeLines="1" w:afterLines="1"/>
      <w:jc w:val="center"/>
      <w:textAlignment w:val="center"/>
    </w:pPr>
    <w:rPr>
      <w:rFonts w:ascii="Times New Roman" w:hAnsi="Times New Roman"/>
      <w:color w:val="000000"/>
      <w:sz w:val="20"/>
      <w:szCs w:val="20"/>
    </w:rPr>
  </w:style>
  <w:style w:type="paragraph" w:customStyle="1" w:styleId="xl91">
    <w:name w:val="xl91"/>
    <w:basedOn w:val="Normal"/>
    <w:rsid w:val="005A5B0C"/>
    <w:pPr>
      <w:pBdr>
        <w:top w:val="single" w:sz="4" w:space="0" w:color="auto"/>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92">
    <w:name w:val="xl92"/>
    <w:basedOn w:val="Normal"/>
    <w:rsid w:val="005A5B0C"/>
    <w:pPr>
      <w:pBdr>
        <w:top w:val="single" w:sz="4" w:space="0" w:color="auto"/>
        <w:left w:val="single" w:sz="4" w:space="0" w:color="auto"/>
        <w:right w:val="single" w:sz="4" w:space="0" w:color="auto"/>
      </w:pBdr>
      <w:spacing w:beforeLines="1" w:afterLines="1"/>
      <w:jc w:val="right"/>
      <w:textAlignment w:val="center"/>
    </w:pPr>
    <w:rPr>
      <w:rFonts w:ascii="Times New Roman" w:hAnsi="Times New Roman"/>
      <w:color w:val="000000"/>
      <w:sz w:val="20"/>
      <w:szCs w:val="20"/>
    </w:rPr>
  </w:style>
  <w:style w:type="paragraph" w:customStyle="1" w:styleId="xl93">
    <w:name w:val="xl93"/>
    <w:basedOn w:val="Normal"/>
    <w:rsid w:val="005A5B0C"/>
    <w:pPr>
      <w:pBdr>
        <w:left w:val="single" w:sz="4" w:space="0" w:color="auto"/>
        <w:bottom w:val="single" w:sz="4" w:space="0" w:color="auto"/>
        <w:right w:val="single" w:sz="4" w:space="0" w:color="auto"/>
      </w:pBdr>
      <w:spacing w:beforeLines="1" w:afterLines="1"/>
      <w:jc w:val="right"/>
      <w:textAlignment w:val="center"/>
    </w:pPr>
    <w:rPr>
      <w:rFonts w:ascii="Times New Roman" w:hAnsi="Times New Roman"/>
      <w:color w:val="000000"/>
      <w:sz w:val="20"/>
      <w:szCs w:val="20"/>
    </w:rPr>
  </w:style>
  <w:style w:type="paragraph" w:customStyle="1" w:styleId="xl94">
    <w:name w:val="xl94"/>
    <w:basedOn w:val="Normal"/>
    <w:rsid w:val="005A5B0C"/>
    <w:pPr>
      <w:pBdr>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character" w:customStyle="1" w:styleId="apple-converted-space">
    <w:name w:val="apple-converted-space"/>
    <w:basedOn w:val="Fuentedeprrafopredeter"/>
    <w:rsid w:val="005A5B0C"/>
  </w:style>
  <w:style w:type="character" w:styleId="Nmerodepgina">
    <w:name w:val="page number"/>
    <w:basedOn w:val="Fuentedeprrafopredeter"/>
    <w:uiPriority w:val="99"/>
    <w:semiHidden/>
    <w:unhideWhenUsed/>
    <w:rsid w:val="00E57373"/>
  </w:style>
  <w:style w:type="paragraph" w:customStyle="1" w:styleId="Chapter">
    <w:name w:val="Chapter"/>
    <w:basedOn w:val="Normal"/>
    <w:next w:val="Normal"/>
    <w:uiPriority w:val="99"/>
    <w:rsid w:val="003940C8"/>
    <w:pPr>
      <w:tabs>
        <w:tab w:val="left" w:pos="1440"/>
      </w:tabs>
      <w:spacing w:before="240" w:after="240"/>
      <w:ind w:left="720" w:hanging="360"/>
      <w:jc w:val="center"/>
    </w:pPr>
    <w:rPr>
      <w:rFonts w:ascii="Times New Roman" w:eastAsia="Times New Roman" w:hAnsi="Times New Roman" w:cs="Times New Roman"/>
      <w:b/>
      <w:smallCaps/>
      <w:noProof/>
      <w:szCs w:val="20"/>
      <w:lang w:val="en-US" w:eastAsia="en-US"/>
    </w:rPr>
  </w:style>
  <w:style w:type="paragraph" w:customStyle="1" w:styleId="Paragraph">
    <w:name w:val="Paragraph"/>
    <w:aliases w:val="paragraph,p,PARAGRAPH,PG,pa,at"/>
    <w:basedOn w:val="Sangradetextonormal"/>
    <w:link w:val="ParagraphCar"/>
    <w:rsid w:val="003940C8"/>
    <w:pPr>
      <w:numPr>
        <w:ilvl w:val="0"/>
      </w:numPr>
      <w:tabs>
        <w:tab w:val="clear" w:pos="648"/>
        <w:tab w:val="num" w:pos="720"/>
      </w:tabs>
      <w:ind w:hanging="720"/>
    </w:pPr>
    <w:rPr>
      <w:rFonts w:ascii="Times New Roman" w:eastAsia="Times New Roman" w:hAnsi="Times New Roman" w:cs="Times New Roman"/>
      <w:lang w:val="es-ES" w:eastAsia="es-ES"/>
    </w:rPr>
  </w:style>
  <w:style w:type="paragraph" w:styleId="Sangradetextonormal">
    <w:name w:val="Body Text Indent"/>
    <w:basedOn w:val="Normal"/>
    <w:link w:val="SangradetextonormalCar"/>
    <w:rsid w:val="003940C8"/>
    <w:pPr>
      <w:numPr>
        <w:ilvl w:val="1"/>
        <w:numId w:val="8"/>
      </w:numPr>
      <w:tabs>
        <w:tab w:val="clear" w:pos="720"/>
      </w:tabs>
      <w:spacing w:after="120"/>
      <w:ind w:left="283" w:firstLine="0"/>
    </w:pPr>
    <w:rPr>
      <w:rFonts w:eastAsiaTheme="minorHAnsi"/>
      <w:lang w:eastAsia="en-US"/>
    </w:rPr>
  </w:style>
  <w:style w:type="character" w:customStyle="1" w:styleId="SangradetextonormalCar">
    <w:name w:val="Sangría de texto normal Car"/>
    <w:basedOn w:val="Fuentedeprrafopredeter"/>
    <w:link w:val="Sangradetextonormal"/>
    <w:rsid w:val="003940C8"/>
  </w:style>
  <w:style w:type="character" w:customStyle="1" w:styleId="ParagraphCar">
    <w:name w:val="Paragraph Car"/>
    <w:basedOn w:val="Fuentedeprrafopredeter"/>
    <w:link w:val="Paragraph"/>
    <w:rsid w:val="003940C8"/>
    <w:rPr>
      <w:rFonts w:ascii="Times New Roman" w:eastAsia="Times New Roman" w:hAnsi="Times New Roman" w:cs="Times New Roman"/>
      <w:lang w:val="es-ES" w:eastAsia="es-ES"/>
    </w:rPr>
  </w:style>
  <w:style w:type="paragraph" w:customStyle="1" w:styleId="font6">
    <w:name w:val="font6"/>
    <w:basedOn w:val="Normal"/>
    <w:rsid w:val="003940C8"/>
    <w:pPr>
      <w:spacing w:beforeLines="1" w:afterLines="1"/>
    </w:pPr>
    <w:rPr>
      <w:rFonts w:ascii="Calibri" w:eastAsiaTheme="minorHAnsi" w:hAnsi="Calibri"/>
      <w:color w:val="000000"/>
      <w:sz w:val="22"/>
      <w:szCs w:val="22"/>
    </w:rPr>
  </w:style>
  <w:style w:type="paragraph" w:customStyle="1" w:styleId="xl24">
    <w:name w:val="xl24"/>
    <w:basedOn w:val="Normal"/>
    <w:rsid w:val="003940C8"/>
    <w:pPr>
      <w:pBdr>
        <w:top w:val="single" w:sz="4" w:space="0" w:color="auto"/>
        <w:left w:val="single" w:sz="4" w:space="0" w:color="auto"/>
        <w:bottom w:val="single" w:sz="8"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25">
    <w:name w:val="xl25"/>
    <w:basedOn w:val="Normal"/>
    <w:rsid w:val="003940C8"/>
    <w:pPr>
      <w:spacing w:beforeLines="1" w:afterLines="1"/>
    </w:pPr>
    <w:rPr>
      <w:rFonts w:ascii="Times" w:eastAsiaTheme="minorHAnsi" w:hAnsi="Times"/>
      <w:b/>
      <w:bCs/>
      <w:sz w:val="20"/>
      <w:szCs w:val="20"/>
    </w:rPr>
  </w:style>
  <w:style w:type="paragraph" w:customStyle="1" w:styleId="xl26">
    <w:name w:val="xl26"/>
    <w:basedOn w:val="Normal"/>
    <w:rsid w:val="003940C8"/>
    <w:pPr>
      <w:pBdr>
        <w:top w:val="single" w:sz="8" w:space="0" w:color="auto"/>
        <w:left w:val="single" w:sz="4"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27">
    <w:name w:val="xl27"/>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28">
    <w:name w:val="xl28"/>
    <w:basedOn w:val="Normal"/>
    <w:rsid w:val="003940C8"/>
    <w:pPr>
      <w:pBdr>
        <w:top w:val="single" w:sz="4" w:space="0" w:color="auto"/>
        <w:left w:val="single" w:sz="4"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29">
    <w:name w:val="xl29"/>
    <w:basedOn w:val="Normal"/>
    <w:rsid w:val="003940C8"/>
    <w:pPr>
      <w:pBdr>
        <w:top w:val="single" w:sz="8" w:space="0" w:color="auto"/>
        <w:left w:val="single" w:sz="4" w:space="0" w:color="auto"/>
        <w:bottom w:val="single" w:sz="4"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30">
    <w:name w:val="xl30"/>
    <w:basedOn w:val="Normal"/>
    <w:rsid w:val="003940C8"/>
    <w:pPr>
      <w:pBdr>
        <w:top w:val="single" w:sz="4" w:space="0" w:color="auto"/>
        <w:left w:val="single" w:sz="4" w:space="0" w:color="auto"/>
        <w:bottom w:val="single" w:sz="8"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31">
    <w:name w:val="xl31"/>
    <w:basedOn w:val="Normal"/>
    <w:rsid w:val="003940C8"/>
    <w:pPr>
      <w:pBdr>
        <w:top w:val="single" w:sz="4" w:space="0" w:color="auto"/>
        <w:left w:val="single" w:sz="4" w:space="0" w:color="auto"/>
        <w:bottom w:val="single" w:sz="4" w:space="0" w:color="auto"/>
        <w:right w:val="single" w:sz="4" w:space="0" w:color="auto"/>
      </w:pBdr>
      <w:shd w:val="clear" w:color="auto" w:fill="000000"/>
      <w:spacing w:beforeLines="1" w:afterLines="1"/>
      <w:jc w:val="center"/>
      <w:textAlignment w:val="center"/>
    </w:pPr>
    <w:rPr>
      <w:rFonts w:ascii="Times" w:eastAsiaTheme="minorHAnsi" w:hAnsi="Times"/>
      <w:color w:val="FFFFFF"/>
      <w:sz w:val="20"/>
      <w:szCs w:val="20"/>
    </w:rPr>
  </w:style>
  <w:style w:type="paragraph" w:customStyle="1" w:styleId="xl32">
    <w:name w:val="xl32"/>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sz w:val="20"/>
      <w:szCs w:val="20"/>
    </w:rPr>
  </w:style>
  <w:style w:type="paragraph" w:customStyle="1" w:styleId="xl33">
    <w:name w:val="xl33"/>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34">
    <w:name w:val="xl34"/>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sz w:val="20"/>
      <w:szCs w:val="20"/>
    </w:rPr>
  </w:style>
  <w:style w:type="paragraph" w:customStyle="1" w:styleId="xl35">
    <w:name w:val="xl35"/>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36">
    <w:name w:val="xl36"/>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b/>
      <w:bCs/>
      <w:sz w:val="20"/>
      <w:szCs w:val="20"/>
    </w:rPr>
  </w:style>
  <w:style w:type="paragraph" w:customStyle="1" w:styleId="xl37">
    <w:name w:val="xl37"/>
    <w:basedOn w:val="Normal"/>
    <w:rsid w:val="003940C8"/>
    <w:pPr>
      <w:pBdr>
        <w:top w:val="single" w:sz="4" w:space="0" w:color="auto"/>
        <w:left w:val="single" w:sz="4" w:space="0" w:color="auto"/>
        <w:right w:val="single" w:sz="4" w:space="0" w:color="auto"/>
      </w:pBdr>
      <w:spacing w:beforeLines="1" w:afterLines="1"/>
      <w:textAlignment w:val="center"/>
    </w:pPr>
    <w:rPr>
      <w:rFonts w:ascii="Times" w:eastAsiaTheme="minorHAnsi" w:hAnsi="Times"/>
      <w:sz w:val="20"/>
      <w:szCs w:val="20"/>
    </w:rPr>
  </w:style>
  <w:style w:type="paragraph" w:customStyle="1" w:styleId="xl38">
    <w:name w:val="xl38"/>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39">
    <w:name w:val="xl39"/>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40">
    <w:name w:val="xl40"/>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41">
    <w:name w:val="xl41"/>
    <w:basedOn w:val="Normal"/>
    <w:rsid w:val="003940C8"/>
    <w:pPr>
      <w:pBdr>
        <w:top w:val="single" w:sz="4" w:space="0" w:color="auto"/>
        <w:left w:val="single" w:sz="4" w:space="0" w:color="auto"/>
        <w:right w:val="single" w:sz="4" w:space="0" w:color="auto"/>
      </w:pBdr>
      <w:spacing w:beforeLines="1" w:afterLines="1"/>
      <w:textAlignment w:val="center"/>
    </w:pPr>
    <w:rPr>
      <w:rFonts w:ascii="Times" w:eastAsiaTheme="minorHAnsi" w:hAnsi="Times"/>
      <w:b/>
      <w:bCs/>
      <w:sz w:val="20"/>
      <w:szCs w:val="20"/>
    </w:rPr>
  </w:style>
  <w:style w:type="paragraph" w:customStyle="1" w:styleId="xl42">
    <w:name w:val="xl42"/>
    <w:basedOn w:val="Normal"/>
    <w:rsid w:val="003940C8"/>
    <w:pPr>
      <w:pBdr>
        <w:top w:val="single" w:sz="4" w:space="0" w:color="auto"/>
        <w:left w:val="single" w:sz="4"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43">
    <w:name w:val="xl43"/>
    <w:basedOn w:val="Normal"/>
    <w:rsid w:val="003940C8"/>
    <w:pPr>
      <w:pBdr>
        <w:top w:val="single" w:sz="4" w:space="0" w:color="auto"/>
        <w:left w:val="single" w:sz="4" w:space="0" w:color="auto"/>
        <w:right w:val="single" w:sz="4" w:space="0" w:color="auto"/>
      </w:pBdr>
      <w:spacing w:beforeLines="1" w:afterLines="1"/>
    </w:pPr>
    <w:rPr>
      <w:rFonts w:ascii="Times" w:eastAsiaTheme="minorHAnsi" w:hAnsi="Times"/>
      <w:sz w:val="20"/>
      <w:szCs w:val="20"/>
    </w:rPr>
  </w:style>
  <w:style w:type="paragraph" w:customStyle="1" w:styleId="xl44">
    <w:name w:val="xl44"/>
    <w:basedOn w:val="Normal"/>
    <w:rsid w:val="003940C8"/>
    <w:pPr>
      <w:pBdr>
        <w:top w:val="single" w:sz="8" w:space="0" w:color="auto"/>
        <w:left w:val="single" w:sz="4"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45">
    <w:name w:val="xl45"/>
    <w:basedOn w:val="Normal"/>
    <w:rsid w:val="003940C8"/>
    <w:pPr>
      <w:pBdr>
        <w:top w:val="single" w:sz="8" w:space="0" w:color="auto"/>
        <w:left w:val="single" w:sz="4" w:space="0" w:color="auto"/>
        <w:bottom w:val="single" w:sz="4" w:space="0" w:color="auto"/>
        <w:right w:val="single" w:sz="8" w:space="0" w:color="auto"/>
      </w:pBdr>
      <w:spacing w:beforeLines="1" w:afterLines="1"/>
      <w:textAlignment w:val="center"/>
    </w:pPr>
    <w:rPr>
      <w:rFonts w:ascii="Calibri" w:eastAsiaTheme="minorHAnsi" w:hAnsi="Calibri"/>
      <w:sz w:val="22"/>
      <w:szCs w:val="22"/>
    </w:rPr>
  </w:style>
  <w:style w:type="paragraph" w:customStyle="1" w:styleId="xl46">
    <w:name w:val="xl46"/>
    <w:basedOn w:val="Normal"/>
    <w:rsid w:val="003940C8"/>
    <w:pPr>
      <w:pBdr>
        <w:top w:val="single" w:sz="4" w:space="0" w:color="auto"/>
        <w:left w:val="single" w:sz="4" w:space="0" w:color="auto"/>
        <w:bottom w:val="single" w:sz="4" w:space="0" w:color="auto"/>
        <w:right w:val="single" w:sz="8" w:space="0" w:color="auto"/>
      </w:pBdr>
      <w:spacing w:beforeLines="1" w:afterLines="1"/>
      <w:textAlignment w:val="center"/>
    </w:pPr>
    <w:rPr>
      <w:rFonts w:ascii="Calibri" w:eastAsiaTheme="minorHAnsi" w:hAnsi="Calibri"/>
      <w:sz w:val="22"/>
      <w:szCs w:val="22"/>
    </w:rPr>
  </w:style>
  <w:style w:type="paragraph" w:customStyle="1" w:styleId="xl47">
    <w:name w:val="xl47"/>
    <w:basedOn w:val="Normal"/>
    <w:rsid w:val="003940C8"/>
    <w:pPr>
      <w:pBdr>
        <w:top w:val="single" w:sz="4" w:space="0" w:color="auto"/>
        <w:left w:val="single" w:sz="8"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48">
    <w:name w:val="xl48"/>
    <w:basedOn w:val="Normal"/>
    <w:rsid w:val="003940C8"/>
    <w:pPr>
      <w:pBdr>
        <w:top w:val="single" w:sz="4" w:space="0" w:color="auto"/>
        <w:left w:val="single" w:sz="4" w:space="0" w:color="auto"/>
        <w:bottom w:val="single" w:sz="4" w:space="0" w:color="auto"/>
        <w:right w:val="single" w:sz="8" w:space="0" w:color="auto"/>
      </w:pBdr>
      <w:spacing w:beforeLines="1" w:afterLines="1"/>
      <w:textAlignment w:val="center"/>
    </w:pPr>
    <w:rPr>
      <w:rFonts w:ascii="Times" w:eastAsiaTheme="minorHAnsi" w:hAnsi="Times"/>
      <w:sz w:val="20"/>
      <w:szCs w:val="20"/>
    </w:rPr>
  </w:style>
  <w:style w:type="paragraph" w:customStyle="1" w:styleId="xl49">
    <w:name w:val="xl49"/>
    <w:basedOn w:val="Normal"/>
    <w:rsid w:val="003940C8"/>
    <w:pPr>
      <w:pBdr>
        <w:top w:val="single" w:sz="4" w:space="0" w:color="auto"/>
        <w:left w:val="single" w:sz="8"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0">
    <w:name w:val="xl50"/>
    <w:basedOn w:val="Normal"/>
    <w:rsid w:val="003940C8"/>
    <w:pPr>
      <w:pBdr>
        <w:top w:val="single" w:sz="4" w:space="0" w:color="auto"/>
        <w:left w:val="single" w:sz="4" w:space="0" w:color="auto"/>
        <w:bottom w:val="single" w:sz="8" w:space="0" w:color="auto"/>
        <w:right w:val="single" w:sz="8" w:space="0" w:color="auto"/>
      </w:pBdr>
      <w:spacing w:beforeLines="1" w:afterLines="1"/>
      <w:textAlignment w:val="center"/>
    </w:pPr>
    <w:rPr>
      <w:rFonts w:ascii="Calibri" w:eastAsiaTheme="minorHAnsi" w:hAnsi="Calibri"/>
      <w:sz w:val="22"/>
      <w:szCs w:val="22"/>
    </w:rPr>
  </w:style>
  <w:style w:type="paragraph" w:customStyle="1" w:styleId="xl51">
    <w:name w:val="xl51"/>
    <w:basedOn w:val="Normal"/>
    <w:rsid w:val="003940C8"/>
    <w:pPr>
      <w:pBdr>
        <w:top w:val="single" w:sz="8" w:space="0" w:color="auto"/>
        <w:left w:val="single" w:sz="8"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2">
    <w:name w:val="xl52"/>
    <w:basedOn w:val="Normal"/>
    <w:rsid w:val="003940C8"/>
    <w:pPr>
      <w:pBdr>
        <w:top w:val="single" w:sz="4" w:space="0" w:color="auto"/>
        <w:left w:val="single" w:sz="4" w:space="0" w:color="auto"/>
        <w:bottom w:val="single" w:sz="8" w:space="0" w:color="auto"/>
        <w:right w:val="single" w:sz="4" w:space="0" w:color="auto"/>
      </w:pBdr>
      <w:spacing w:beforeLines="1" w:afterLines="1"/>
      <w:textAlignment w:val="center"/>
    </w:pPr>
    <w:rPr>
      <w:rFonts w:ascii="Times" w:eastAsiaTheme="minorHAnsi" w:hAnsi="Times"/>
      <w:sz w:val="20"/>
      <w:szCs w:val="20"/>
    </w:rPr>
  </w:style>
  <w:style w:type="paragraph" w:customStyle="1" w:styleId="xl53">
    <w:name w:val="xl53"/>
    <w:basedOn w:val="Normal"/>
    <w:rsid w:val="003940C8"/>
    <w:pPr>
      <w:pBdr>
        <w:top w:val="single" w:sz="4" w:space="0" w:color="auto"/>
        <w:left w:val="single" w:sz="4" w:space="0" w:color="auto"/>
        <w:bottom w:val="single" w:sz="8"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54">
    <w:name w:val="xl54"/>
    <w:basedOn w:val="Normal"/>
    <w:rsid w:val="003940C8"/>
    <w:pPr>
      <w:pBdr>
        <w:top w:val="single" w:sz="8" w:space="0" w:color="auto"/>
        <w:left w:val="single" w:sz="4" w:space="0" w:color="auto"/>
        <w:bottom w:val="single" w:sz="4"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55">
    <w:name w:val="xl55"/>
    <w:basedOn w:val="Normal"/>
    <w:rsid w:val="003940C8"/>
    <w:pPr>
      <w:pBdr>
        <w:top w:val="single" w:sz="4" w:space="0" w:color="auto"/>
        <w:left w:val="single" w:sz="4"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6">
    <w:name w:val="xl56"/>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7">
    <w:name w:val="xl57"/>
    <w:basedOn w:val="Normal"/>
    <w:rsid w:val="003940C8"/>
    <w:pPr>
      <w:pBdr>
        <w:top w:val="single" w:sz="8" w:space="0" w:color="auto"/>
        <w:left w:val="single" w:sz="8"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8">
    <w:name w:val="xl58"/>
    <w:basedOn w:val="Normal"/>
    <w:rsid w:val="003940C8"/>
    <w:pPr>
      <w:pBdr>
        <w:top w:val="single" w:sz="4" w:space="0" w:color="auto"/>
        <w:left w:val="single" w:sz="8"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9">
    <w:name w:val="xl59"/>
    <w:basedOn w:val="Normal"/>
    <w:rsid w:val="003940C8"/>
    <w:pPr>
      <w:pBdr>
        <w:top w:val="single" w:sz="4" w:space="0" w:color="auto"/>
        <w:left w:val="single" w:sz="8"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60">
    <w:name w:val="xl60"/>
    <w:basedOn w:val="Normal"/>
    <w:rsid w:val="003940C8"/>
    <w:pPr>
      <w:pBdr>
        <w:top w:val="single" w:sz="4" w:space="0" w:color="auto"/>
        <w:left w:val="single" w:sz="4" w:space="0" w:color="auto"/>
        <w:right w:val="single" w:sz="8" w:space="0" w:color="auto"/>
      </w:pBdr>
      <w:spacing w:beforeLines="1" w:afterLines="1"/>
      <w:textAlignment w:val="center"/>
    </w:pPr>
    <w:rPr>
      <w:rFonts w:ascii="Times" w:eastAsiaTheme="minorHAnsi" w:hAnsi="Times"/>
      <w:b/>
      <w:bCs/>
      <w:sz w:val="20"/>
      <w:szCs w:val="20"/>
    </w:rPr>
  </w:style>
  <w:style w:type="paragraph" w:customStyle="1" w:styleId="xl61">
    <w:name w:val="xl61"/>
    <w:basedOn w:val="Normal"/>
    <w:rsid w:val="003940C8"/>
    <w:pPr>
      <w:pBdr>
        <w:left w:val="single" w:sz="4" w:space="0" w:color="auto"/>
        <w:right w:val="single" w:sz="8" w:space="0" w:color="auto"/>
      </w:pBdr>
      <w:spacing w:beforeLines="1" w:afterLines="1"/>
      <w:textAlignment w:val="center"/>
    </w:pPr>
    <w:rPr>
      <w:rFonts w:ascii="Times" w:eastAsiaTheme="minorHAnsi" w:hAnsi="Times"/>
      <w:b/>
      <w:bCs/>
      <w:sz w:val="20"/>
      <w:szCs w:val="20"/>
    </w:rPr>
  </w:style>
  <w:style w:type="paragraph" w:customStyle="1" w:styleId="xl62">
    <w:name w:val="xl62"/>
    <w:basedOn w:val="Normal"/>
    <w:rsid w:val="003940C8"/>
    <w:pPr>
      <w:pBdr>
        <w:left w:val="single" w:sz="4" w:space="0" w:color="auto"/>
        <w:bottom w:val="single" w:sz="4" w:space="0" w:color="auto"/>
        <w:right w:val="single" w:sz="8" w:space="0" w:color="auto"/>
      </w:pBdr>
      <w:spacing w:beforeLines="1" w:afterLines="1"/>
      <w:textAlignment w:val="center"/>
    </w:pPr>
    <w:rPr>
      <w:rFonts w:ascii="Times" w:eastAsiaTheme="minorHAnsi" w:hAnsi="Times"/>
      <w:b/>
      <w:bCs/>
      <w:sz w:val="20"/>
      <w:szCs w:val="20"/>
    </w:rPr>
  </w:style>
  <w:style w:type="paragraph" w:customStyle="1" w:styleId="xl63">
    <w:name w:val="xl63"/>
    <w:basedOn w:val="Normal"/>
    <w:rsid w:val="003940C8"/>
    <w:pPr>
      <w:pBdr>
        <w:top w:val="single" w:sz="8" w:space="0" w:color="auto"/>
        <w:left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64">
    <w:name w:val="xl64"/>
    <w:basedOn w:val="Normal"/>
    <w:rsid w:val="003940C8"/>
    <w:pPr>
      <w:pBdr>
        <w:left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65">
    <w:name w:val="xl65"/>
    <w:basedOn w:val="Normal"/>
    <w:rsid w:val="003940C8"/>
    <w:pPr>
      <w:pBdr>
        <w:left w:val="single" w:sz="8"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character" w:customStyle="1" w:styleId="TextocomentarioCar1">
    <w:name w:val="Texto comentario Car1"/>
    <w:basedOn w:val="Fuentedeprrafopredeter"/>
    <w:semiHidden/>
    <w:rsid w:val="006731F4"/>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67">
    <w:lsdException w:name="heading 3"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Normal (Web)" w:uiPriority="99"/>
    <w:lsdException w:name="Balloon Text" w:uiPriority="99"/>
    <w:lsdException w:name="Table Grid" w:uiPriority="59"/>
    <w:lsdException w:name="List Paragraph" w:uiPriority="34" w:qFormat="1"/>
  </w:latentStyles>
  <w:style w:type="paragraph" w:default="1" w:styleId="Normal">
    <w:name w:val="Normal"/>
    <w:qFormat/>
    <w:rsid w:val="005A5B0C"/>
    <w:rPr>
      <w:rFonts w:eastAsiaTheme="minorEastAsia"/>
      <w:lang w:eastAsia="es-ES_tradnl"/>
    </w:rPr>
  </w:style>
  <w:style w:type="paragraph" w:styleId="Ttulo1">
    <w:name w:val="heading 1"/>
    <w:basedOn w:val="Normal"/>
    <w:next w:val="Normal"/>
    <w:link w:val="Ttulo1Car"/>
    <w:uiPriority w:val="9"/>
    <w:qFormat/>
    <w:rsid w:val="005A5B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5A5B0C"/>
    <w:pPr>
      <w:keepNext/>
      <w:spacing w:before="240" w:after="60"/>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unhideWhenUsed/>
    <w:qFormat/>
    <w:rsid w:val="005A5B0C"/>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
    <w:uiPriority w:val="99"/>
    <w:unhideWhenUsed/>
    <w:rsid w:val="005A5B0C"/>
    <w:rPr>
      <w:rFonts w:ascii="Tahoma" w:hAnsi="Tahoma" w:cs="Tahoma"/>
      <w:sz w:val="16"/>
      <w:szCs w:val="16"/>
    </w:rPr>
  </w:style>
  <w:style w:type="character" w:customStyle="1" w:styleId="TextodegloboCar">
    <w:name w:val="Texto de globo Car"/>
    <w:basedOn w:val="Fuentedeprrafopredeter"/>
    <w:uiPriority w:val="99"/>
    <w:semiHidden/>
    <w:rsid w:val="00AE6B51"/>
    <w:rPr>
      <w:rFonts w:ascii="Lucida Grande" w:hAnsi="Lucida Grande"/>
      <w:sz w:val="18"/>
      <w:szCs w:val="18"/>
    </w:rPr>
  </w:style>
  <w:style w:type="character" w:customStyle="1" w:styleId="TextodegloboCar0">
    <w:name w:val="Texto de globo Car"/>
    <w:basedOn w:val="Fuentedeprrafopredeter"/>
    <w:uiPriority w:val="99"/>
    <w:semiHidden/>
    <w:rsid w:val="00CF4A53"/>
    <w:rPr>
      <w:rFonts w:ascii="Lucida Grande" w:hAnsi="Lucida Grande" w:cs="Lucida Grande"/>
      <w:sz w:val="18"/>
      <w:szCs w:val="18"/>
    </w:rPr>
  </w:style>
  <w:style w:type="character" w:customStyle="1" w:styleId="TextodegloboCar2">
    <w:name w:val="Texto de globo Car"/>
    <w:basedOn w:val="Fuentedeprrafopredeter"/>
    <w:uiPriority w:val="99"/>
    <w:semiHidden/>
    <w:rsid w:val="00335B7A"/>
    <w:rPr>
      <w:rFonts w:ascii="Lucida Grande" w:hAnsi="Lucida Grande"/>
      <w:sz w:val="18"/>
      <w:szCs w:val="18"/>
    </w:rPr>
  </w:style>
  <w:style w:type="character" w:customStyle="1" w:styleId="TextodegloboCar3">
    <w:name w:val="Texto de globo Car"/>
    <w:basedOn w:val="Fuentedeprrafopredeter"/>
    <w:uiPriority w:val="99"/>
    <w:semiHidden/>
    <w:rsid w:val="00335B7A"/>
    <w:rPr>
      <w:rFonts w:ascii="Lucida Grande" w:hAnsi="Lucida Grande"/>
      <w:sz w:val="18"/>
      <w:szCs w:val="18"/>
    </w:rPr>
  </w:style>
  <w:style w:type="character" w:customStyle="1" w:styleId="TextodegloboCar4">
    <w:name w:val="Texto de globo Car"/>
    <w:basedOn w:val="Fuentedeprrafopredeter"/>
    <w:uiPriority w:val="99"/>
    <w:semiHidden/>
    <w:rsid w:val="00335B7A"/>
    <w:rPr>
      <w:rFonts w:ascii="Lucida Grande" w:hAnsi="Lucida Grande"/>
      <w:sz w:val="18"/>
      <w:szCs w:val="18"/>
    </w:rPr>
  </w:style>
  <w:style w:type="character" w:customStyle="1" w:styleId="TextodegloboCar5">
    <w:name w:val="Texto de globo Car"/>
    <w:basedOn w:val="Fuentedeprrafopredeter"/>
    <w:uiPriority w:val="99"/>
    <w:semiHidden/>
    <w:rsid w:val="00EC2F3D"/>
    <w:rPr>
      <w:rFonts w:ascii="Lucida Grande" w:hAnsi="Lucida Grande"/>
      <w:sz w:val="18"/>
      <w:szCs w:val="18"/>
    </w:rPr>
  </w:style>
  <w:style w:type="character" w:customStyle="1" w:styleId="TextodegloboCar6">
    <w:name w:val="Texto de globo Car"/>
    <w:basedOn w:val="Fuentedeprrafopredeter"/>
    <w:uiPriority w:val="99"/>
    <w:semiHidden/>
    <w:rsid w:val="00CC0C05"/>
    <w:rPr>
      <w:rFonts w:ascii="Lucida Grande" w:hAnsi="Lucida Grande"/>
      <w:sz w:val="18"/>
      <w:szCs w:val="18"/>
    </w:rPr>
  </w:style>
  <w:style w:type="character" w:customStyle="1" w:styleId="TextodegloboCar7">
    <w:name w:val="Texto de globo Car"/>
    <w:basedOn w:val="Fuentedeprrafopredeter"/>
    <w:uiPriority w:val="99"/>
    <w:semiHidden/>
    <w:rsid w:val="00AD69DC"/>
    <w:rPr>
      <w:rFonts w:ascii="Lucida Grande" w:hAnsi="Lucida Grande"/>
      <w:sz w:val="18"/>
      <w:szCs w:val="18"/>
    </w:rPr>
  </w:style>
  <w:style w:type="character" w:customStyle="1" w:styleId="TextodegloboCar8">
    <w:name w:val="Texto de globo Car"/>
    <w:basedOn w:val="Fuentedeprrafopredeter"/>
    <w:uiPriority w:val="99"/>
    <w:semiHidden/>
    <w:rsid w:val="00510BBC"/>
    <w:rPr>
      <w:rFonts w:ascii="Lucida Grande" w:hAnsi="Lucida Grande"/>
      <w:sz w:val="18"/>
      <w:szCs w:val="18"/>
    </w:rPr>
  </w:style>
  <w:style w:type="character" w:customStyle="1" w:styleId="TextodegloboCar9">
    <w:name w:val="Texto de globo Car"/>
    <w:basedOn w:val="Fuentedeprrafopredeter"/>
    <w:uiPriority w:val="99"/>
    <w:semiHidden/>
    <w:rsid w:val="008F2B4F"/>
    <w:rPr>
      <w:rFonts w:ascii="Lucida Grande" w:hAnsi="Lucida Grande"/>
      <w:sz w:val="18"/>
      <w:szCs w:val="18"/>
    </w:rPr>
  </w:style>
  <w:style w:type="character" w:customStyle="1" w:styleId="TextodegloboCara">
    <w:name w:val="Texto de globo Car"/>
    <w:basedOn w:val="Fuentedeprrafopredeter"/>
    <w:uiPriority w:val="99"/>
    <w:semiHidden/>
    <w:rsid w:val="00DF118F"/>
    <w:rPr>
      <w:rFonts w:ascii="Lucida Grande" w:hAnsi="Lucida Grande"/>
      <w:sz w:val="18"/>
      <w:szCs w:val="18"/>
    </w:rPr>
  </w:style>
  <w:style w:type="character" w:customStyle="1" w:styleId="TextodegloboCarb">
    <w:name w:val="Texto de globo Car"/>
    <w:basedOn w:val="Fuentedeprrafopredeter"/>
    <w:uiPriority w:val="99"/>
    <w:semiHidden/>
    <w:rsid w:val="006C103E"/>
    <w:rPr>
      <w:rFonts w:ascii="Lucida Grande" w:hAnsi="Lucida Grande"/>
      <w:sz w:val="18"/>
      <w:szCs w:val="18"/>
    </w:rPr>
  </w:style>
  <w:style w:type="character" w:customStyle="1" w:styleId="TextodegloboCarc">
    <w:name w:val="Texto de globo Car"/>
    <w:basedOn w:val="Fuentedeprrafopredeter"/>
    <w:uiPriority w:val="99"/>
    <w:semiHidden/>
    <w:rsid w:val="00106EB0"/>
    <w:rPr>
      <w:rFonts w:ascii="Lucida Grande" w:hAnsi="Lucida Grande"/>
      <w:sz w:val="18"/>
      <w:szCs w:val="18"/>
    </w:rPr>
  </w:style>
  <w:style w:type="character" w:customStyle="1" w:styleId="TextodegloboCard">
    <w:name w:val="Texto de globo Car"/>
    <w:basedOn w:val="Fuentedeprrafopredeter"/>
    <w:uiPriority w:val="99"/>
    <w:semiHidden/>
    <w:rsid w:val="00106EB0"/>
    <w:rPr>
      <w:rFonts w:ascii="Lucida Grande" w:hAnsi="Lucida Grande"/>
      <w:sz w:val="18"/>
      <w:szCs w:val="18"/>
    </w:rPr>
  </w:style>
  <w:style w:type="character" w:customStyle="1" w:styleId="TextodegloboCare">
    <w:name w:val="Texto de globo Car"/>
    <w:basedOn w:val="Fuentedeprrafopredeter"/>
    <w:uiPriority w:val="99"/>
    <w:semiHidden/>
    <w:rsid w:val="00804474"/>
    <w:rPr>
      <w:rFonts w:ascii="Lucida Grande" w:hAnsi="Lucida Grande"/>
      <w:sz w:val="18"/>
      <w:szCs w:val="18"/>
    </w:rPr>
  </w:style>
  <w:style w:type="character" w:customStyle="1" w:styleId="TextodegloboCarf">
    <w:name w:val="Texto de globo Car"/>
    <w:basedOn w:val="Fuentedeprrafopredeter"/>
    <w:uiPriority w:val="99"/>
    <w:semiHidden/>
    <w:rsid w:val="00804474"/>
    <w:rPr>
      <w:rFonts w:ascii="Lucida Grande" w:hAnsi="Lucida Grande"/>
      <w:sz w:val="18"/>
      <w:szCs w:val="18"/>
    </w:rPr>
  </w:style>
  <w:style w:type="character" w:customStyle="1" w:styleId="TextodegloboCarf0">
    <w:name w:val="Texto de globo Car"/>
    <w:basedOn w:val="Fuentedeprrafopredeter"/>
    <w:uiPriority w:val="99"/>
    <w:semiHidden/>
    <w:rsid w:val="00273F58"/>
    <w:rPr>
      <w:rFonts w:ascii="Lucida Grande" w:hAnsi="Lucida Grande"/>
      <w:sz w:val="18"/>
      <w:szCs w:val="18"/>
    </w:rPr>
  </w:style>
  <w:style w:type="character" w:customStyle="1" w:styleId="TextodegloboCarf1">
    <w:name w:val="Texto de globo Car"/>
    <w:basedOn w:val="Fuentedeprrafopredeter"/>
    <w:uiPriority w:val="99"/>
    <w:semiHidden/>
    <w:rsid w:val="00EA4202"/>
    <w:rPr>
      <w:rFonts w:ascii="Lucida Grande" w:hAnsi="Lucida Grande"/>
      <w:sz w:val="18"/>
      <w:szCs w:val="18"/>
    </w:rPr>
  </w:style>
  <w:style w:type="character" w:customStyle="1" w:styleId="TextodegloboCarf2">
    <w:name w:val="Texto de globo Car"/>
    <w:basedOn w:val="Fuentedeprrafopredeter"/>
    <w:uiPriority w:val="99"/>
    <w:semiHidden/>
    <w:rsid w:val="00D40808"/>
    <w:rPr>
      <w:rFonts w:ascii="Lucida Grande" w:hAnsi="Lucida Grande"/>
      <w:sz w:val="18"/>
      <w:szCs w:val="18"/>
    </w:rPr>
  </w:style>
  <w:style w:type="character" w:customStyle="1" w:styleId="TextodegloboCarf3">
    <w:name w:val="Texto de globo Car"/>
    <w:basedOn w:val="Fuentedeprrafopredeter"/>
    <w:uiPriority w:val="99"/>
    <w:semiHidden/>
    <w:rsid w:val="00D40808"/>
    <w:rPr>
      <w:rFonts w:ascii="Lucida Grande" w:hAnsi="Lucida Grande"/>
      <w:sz w:val="18"/>
      <w:szCs w:val="18"/>
    </w:rPr>
  </w:style>
  <w:style w:type="character" w:customStyle="1" w:styleId="TextodegloboCarf4">
    <w:name w:val="Texto de globo Car"/>
    <w:basedOn w:val="Fuentedeprrafopredeter"/>
    <w:uiPriority w:val="99"/>
    <w:semiHidden/>
    <w:rsid w:val="00D5515E"/>
    <w:rPr>
      <w:rFonts w:ascii="Lucida Grande" w:hAnsi="Lucida Grande"/>
      <w:sz w:val="18"/>
      <w:szCs w:val="18"/>
    </w:rPr>
  </w:style>
  <w:style w:type="character" w:customStyle="1" w:styleId="TextodegloboCarf5">
    <w:name w:val="Texto de globo Car"/>
    <w:basedOn w:val="Fuentedeprrafopredeter"/>
    <w:uiPriority w:val="99"/>
    <w:semiHidden/>
    <w:rsid w:val="00696C14"/>
    <w:rPr>
      <w:rFonts w:ascii="Lucida Grande" w:hAnsi="Lucida Grande"/>
      <w:sz w:val="18"/>
      <w:szCs w:val="18"/>
    </w:rPr>
  </w:style>
  <w:style w:type="character" w:customStyle="1" w:styleId="TextodegloboCarf6">
    <w:name w:val="Texto de globo Car"/>
    <w:basedOn w:val="Fuentedeprrafopredeter"/>
    <w:uiPriority w:val="99"/>
    <w:semiHidden/>
    <w:rsid w:val="00CD58E7"/>
    <w:rPr>
      <w:rFonts w:ascii="Lucida Grande" w:hAnsi="Lucida Grande"/>
      <w:sz w:val="18"/>
      <w:szCs w:val="18"/>
    </w:rPr>
  </w:style>
  <w:style w:type="character" w:customStyle="1" w:styleId="TextodegloboCarf7">
    <w:name w:val="Texto de globo Car"/>
    <w:basedOn w:val="Fuentedeprrafopredeter"/>
    <w:uiPriority w:val="99"/>
    <w:semiHidden/>
    <w:rsid w:val="00C76D66"/>
    <w:rPr>
      <w:rFonts w:ascii="Lucida Grande" w:hAnsi="Lucida Grande"/>
      <w:sz w:val="18"/>
      <w:szCs w:val="18"/>
    </w:rPr>
  </w:style>
  <w:style w:type="character" w:customStyle="1" w:styleId="TextodegloboCarf8">
    <w:name w:val="Texto de globo Car"/>
    <w:basedOn w:val="Fuentedeprrafopredeter"/>
    <w:uiPriority w:val="99"/>
    <w:semiHidden/>
    <w:rsid w:val="00770562"/>
    <w:rPr>
      <w:rFonts w:ascii="Lucida Grande" w:hAnsi="Lucida Grande"/>
      <w:sz w:val="18"/>
      <w:szCs w:val="18"/>
    </w:rPr>
  </w:style>
  <w:style w:type="character" w:customStyle="1" w:styleId="TextodegloboCarf9">
    <w:name w:val="Texto de globo Car"/>
    <w:basedOn w:val="Fuentedeprrafopredeter"/>
    <w:uiPriority w:val="99"/>
    <w:semiHidden/>
    <w:rsid w:val="00E92022"/>
    <w:rPr>
      <w:rFonts w:ascii="Lucida Grande" w:hAnsi="Lucida Grande"/>
      <w:sz w:val="18"/>
      <w:szCs w:val="18"/>
    </w:rPr>
  </w:style>
  <w:style w:type="character" w:customStyle="1" w:styleId="TextodegloboCarfa">
    <w:name w:val="Texto de globo Car"/>
    <w:basedOn w:val="Fuentedeprrafopredeter"/>
    <w:uiPriority w:val="99"/>
    <w:semiHidden/>
    <w:rsid w:val="00AD3821"/>
    <w:rPr>
      <w:rFonts w:ascii="Lucida Grande" w:hAnsi="Lucida Grande"/>
      <w:sz w:val="18"/>
      <w:szCs w:val="18"/>
    </w:rPr>
  </w:style>
  <w:style w:type="character" w:customStyle="1" w:styleId="TextodegloboCarfb">
    <w:name w:val="Texto de globo Car"/>
    <w:basedOn w:val="Fuentedeprrafopredeter"/>
    <w:uiPriority w:val="99"/>
    <w:semiHidden/>
    <w:rsid w:val="004B0464"/>
    <w:rPr>
      <w:rFonts w:ascii="Lucida Grande" w:hAnsi="Lucida Grande"/>
      <w:sz w:val="18"/>
      <w:szCs w:val="18"/>
    </w:rPr>
  </w:style>
  <w:style w:type="character" w:customStyle="1" w:styleId="TextodegloboCarfc">
    <w:name w:val="Texto de globo Car"/>
    <w:basedOn w:val="Fuentedeprrafopredeter"/>
    <w:uiPriority w:val="99"/>
    <w:semiHidden/>
    <w:rsid w:val="00513DC3"/>
    <w:rPr>
      <w:rFonts w:ascii="Lucida Grande" w:hAnsi="Lucida Grande"/>
      <w:sz w:val="18"/>
      <w:szCs w:val="18"/>
    </w:rPr>
  </w:style>
  <w:style w:type="character" w:customStyle="1" w:styleId="TextodegloboCarfd">
    <w:name w:val="Texto de globo Car"/>
    <w:basedOn w:val="Fuentedeprrafopredeter"/>
    <w:uiPriority w:val="99"/>
    <w:semiHidden/>
    <w:rsid w:val="0022739C"/>
    <w:rPr>
      <w:rFonts w:ascii="Lucida Grande" w:hAnsi="Lucida Grande"/>
      <w:sz w:val="18"/>
      <w:szCs w:val="18"/>
    </w:rPr>
  </w:style>
  <w:style w:type="character" w:customStyle="1" w:styleId="TextodegloboCarfe">
    <w:name w:val="Texto de globo Car"/>
    <w:basedOn w:val="Fuentedeprrafopredeter"/>
    <w:uiPriority w:val="99"/>
    <w:semiHidden/>
    <w:rsid w:val="00D12A64"/>
    <w:rPr>
      <w:rFonts w:ascii="Lucida Grande" w:hAnsi="Lucida Grande"/>
      <w:sz w:val="18"/>
      <w:szCs w:val="18"/>
    </w:rPr>
  </w:style>
  <w:style w:type="character" w:customStyle="1" w:styleId="TextodegloboCarff">
    <w:name w:val="Texto de globo Car"/>
    <w:basedOn w:val="Fuentedeprrafopredeter"/>
    <w:uiPriority w:val="99"/>
    <w:semiHidden/>
    <w:rsid w:val="00D12A64"/>
    <w:rPr>
      <w:rFonts w:ascii="Lucida Grande" w:hAnsi="Lucida Grande"/>
      <w:sz w:val="18"/>
      <w:szCs w:val="18"/>
    </w:rPr>
  </w:style>
  <w:style w:type="character" w:customStyle="1" w:styleId="Ttulo1Car">
    <w:name w:val="Título 1 Car"/>
    <w:basedOn w:val="Fuentedeprrafopredeter"/>
    <w:link w:val="Ttulo1"/>
    <w:uiPriority w:val="9"/>
    <w:rsid w:val="005A5B0C"/>
    <w:rPr>
      <w:rFonts w:asciiTheme="majorHAnsi" w:eastAsiaTheme="majorEastAsia" w:hAnsiTheme="majorHAnsi" w:cstheme="majorBidi"/>
      <w:b/>
      <w:bCs/>
      <w:color w:val="365F91" w:themeColor="accent1" w:themeShade="BF"/>
      <w:sz w:val="28"/>
      <w:szCs w:val="28"/>
      <w:lang w:eastAsia="es-ES_tradnl"/>
    </w:rPr>
  </w:style>
  <w:style w:type="character" w:customStyle="1" w:styleId="Ttulo2Car">
    <w:name w:val="Título 2 Car"/>
    <w:basedOn w:val="Fuentedeprrafopredeter"/>
    <w:link w:val="Ttulo2"/>
    <w:uiPriority w:val="9"/>
    <w:rsid w:val="005A5B0C"/>
    <w:rPr>
      <w:rFonts w:ascii="Cambria" w:eastAsia="Times New Roman" w:hAnsi="Cambria" w:cs="Times New Roman"/>
      <w:b/>
      <w:bCs/>
      <w:i/>
      <w:iCs/>
      <w:sz w:val="28"/>
      <w:szCs w:val="28"/>
      <w:lang w:val="es-ES" w:eastAsia="es-ES_tradnl"/>
    </w:rPr>
  </w:style>
  <w:style w:type="character" w:customStyle="1" w:styleId="Ttulo3Car">
    <w:name w:val="Título 3 Car"/>
    <w:basedOn w:val="Fuentedeprrafopredeter"/>
    <w:link w:val="Ttulo3"/>
    <w:uiPriority w:val="9"/>
    <w:rsid w:val="005A5B0C"/>
    <w:rPr>
      <w:rFonts w:asciiTheme="majorHAnsi" w:eastAsiaTheme="majorEastAsia" w:hAnsiTheme="majorHAnsi" w:cstheme="majorBidi"/>
      <w:b/>
      <w:bCs/>
      <w:color w:val="4F81BD" w:themeColor="accent1"/>
      <w:lang w:eastAsia="es-ES_tradnl"/>
    </w:rPr>
  </w:style>
  <w:style w:type="character" w:customStyle="1" w:styleId="TextodegloboCar1">
    <w:name w:val="Texto de globo Car1"/>
    <w:basedOn w:val="Fuentedeprrafopredeter"/>
    <w:link w:val="Textodeglobo"/>
    <w:uiPriority w:val="99"/>
    <w:semiHidden/>
    <w:rsid w:val="005A5B0C"/>
    <w:rPr>
      <w:rFonts w:ascii="Tahoma" w:eastAsiaTheme="minorEastAsia" w:hAnsi="Tahoma" w:cs="Tahoma"/>
      <w:sz w:val="16"/>
      <w:szCs w:val="16"/>
      <w:lang w:eastAsia="es-ES_tradnl"/>
    </w:rPr>
  </w:style>
  <w:style w:type="character" w:customStyle="1" w:styleId="TextodegloboCarff0">
    <w:name w:val="Texto de globo Car"/>
    <w:basedOn w:val="Fuentedeprrafopredeter"/>
    <w:uiPriority w:val="99"/>
    <w:rsid w:val="005A5B0C"/>
    <w:rPr>
      <w:rFonts w:ascii="Lucida Grande" w:eastAsiaTheme="minorEastAsia" w:hAnsi="Lucida Grande"/>
      <w:sz w:val="18"/>
      <w:szCs w:val="18"/>
      <w:lang w:eastAsia="es-ES_tradnl"/>
    </w:rPr>
  </w:style>
  <w:style w:type="paragraph" w:customStyle="1" w:styleId="Default">
    <w:name w:val="Default"/>
    <w:rsid w:val="005A5B0C"/>
    <w:pPr>
      <w:autoSpaceDE w:val="0"/>
      <w:autoSpaceDN w:val="0"/>
      <w:adjustRightInd w:val="0"/>
    </w:pPr>
    <w:rPr>
      <w:rFonts w:ascii="Arial" w:hAnsi="Arial" w:cs="Arial"/>
      <w:color w:val="000000"/>
      <w:lang w:val="es-CO"/>
    </w:rPr>
  </w:style>
  <w:style w:type="paragraph" w:styleId="Prrafodelista">
    <w:name w:val="List Paragraph"/>
    <w:basedOn w:val="Normal"/>
    <w:uiPriority w:val="34"/>
    <w:qFormat/>
    <w:rsid w:val="005A5B0C"/>
    <w:pPr>
      <w:ind w:left="720"/>
      <w:contextualSpacing/>
    </w:pPr>
    <w:rPr>
      <w:rFonts w:ascii="Times New Roman" w:eastAsia="Times New Roman" w:hAnsi="Times New Roman" w:cs="Times New Roman"/>
      <w:lang w:eastAsia="es-CO"/>
    </w:rPr>
  </w:style>
  <w:style w:type="table" w:styleId="Tablaconcuadrcula">
    <w:name w:val="Table Grid"/>
    <w:basedOn w:val="Tablanormal"/>
    <w:uiPriority w:val="59"/>
    <w:rsid w:val="005A5B0C"/>
    <w:rPr>
      <w:sz w:val="22"/>
      <w:szCs w:val="22"/>
      <w:lang w:val="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notaalpie">
    <w:name w:val="footnote reference"/>
    <w:aliases w:val="referencia nota al pie,Ref,de nota al pie,Ref. de nota al pie2,Nota de pie,Texto de nota al pie,normal"/>
    <w:basedOn w:val="Fuentedeprrafopredeter"/>
    <w:rsid w:val="005A5B0C"/>
    <w:rPr>
      <w:vertAlign w:val="superscript"/>
    </w:rPr>
  </w:style>
  <w:style w:type="character" w:styleId="Hipervnculo">
    <w:name w:val="Hyperlink"/>
    <w:basedOn w:val="Fuentedeprrafopredeter"/>
    <w:uiPriority w:val="99"/>
    <w:unhideWhenUsed/>
    <w:rsid w:val="005A5B0C"/>
    <w:rPr>
      <w:color w:val="0000FF"/>
      <w:u w:val="single"/>
    </w:rPr>
  </w:style>
  <w:style w:type="paragraph" w:styleId="Textoindependiente2">
    <w:name w:val="Body Text 2"/>
    <w:basedOn w:val="Normal"/>
    <w:link w:val="Textoindependiente2Car"/>
    <w:rsid w:val="005A5B0C"/>
    <w:pPr>
      <w:jc w:val="both"/>
    </w:pPr>
    <w:rPr>
      <w:rFonts w:ascii="Arial" w:eastAsia="Times New Roman" w:hAnsi="Arial" w:cs="Arial"/>
      <w:sz w:val="21"/>
      <w:szCs w:val="20"/>
      <w:lang w:eastAsia="es-ES"/>
    </w:rPr>
  </w:style>
  <w:style w:type="character" w:customStyle="1" w:styleId="Textoindependiente2Car">
    <w:name w:val="Texto independiente 2 Car"/>
    <w:basedOn w:val="Fuentedeprrafopredeter"/>
    <w:link w:val="Textoindependiente2"/>
    <w:rsid w:val="005A5B0C"/>
    <w:rPr>
      <w:rFonts w:ascii="Arial" w:eastAsia="Times New Roman" w:hAnsi="Arial" w:cs="Arial"/>
      <w:sz w:val="21"/>
      <w:szCs w:val="20"/>
      <w:lang w:eastAsia="es-ES"/>
    </w:rPr>
  </w:style>
  <w:style w:type="paragraph" w:styleId="Epgrafe">
    <w:name w:val="caption"/>
    <w:aliases w:val=" Car1 Car Car Car, Car Car11 Car,Epígrafe1, Car1 Car Car Car1 Car, Car1 Car Car Car1, Car Car11 Car Car,Car1 Car Car Car,Car Car11 Car,Car1 Car Car Car1 Car,Car1 Car Car Car1,Car Car11 Car Car"/>
    <w:basedOn w:val="Normal"/>
    <w:next w:val="Normal"/>
    <w:link w:val="EpgrafeCar"/>
    <w:uiPriority w:val="35"/>
    <w:qFormat/>
    <w:rsid w:val="005A5B0C"/>
    <w:pPr>
      <w:jc w:val="center"/>
    </w:pPr>
    <w:rPr>
      <w:rFonts w:ascii="Times New Roman" w:eastAsia="Times New Roman" w:hAnsi="Times New Roman" w:cs="Times New Roman"/>
      <w:b/>
      <w:bCs/>
      <w:sz w:val="20"/>
      <w:szCs w:val="20"/>
      <w:lang w:val="es-ES" w:eastAsia="es-ES"/>
    </w:rPr>
  </w:style>
  <w:style w:type="character" w:customStyle="1" w:styleId="EpgrafeCar">
    <w:name w:val="Epígrafe Car"/>
    <w:aliases w:val=" Car1 Car Car Car Car, Car Car11 Car Car1,Epígrafe1 Car, Car1 Car Car Car1 Car Car, Car1 Car Car Car1 Car1, Car Car11 Car Car Car,Car1 Car Car Car Car,Car Car11 Car Car1,Car1 Car Car Car1 Car Car,Car1 Car Car Car1 Car1,Car Car11 Car Car Car"/>
    <w:basedOn w:val="Fuentedeprrafopredeter"/>
    <w:link w:val="Epgrafe"/>
    <w:rsid w:val="005A5B0C"/>
    <w:rPr>
      <w:rFonts w:ascii="Times New Roman" w:eastAsia="Times New Roman" w:hAnsi="Times New Roman" w:cs="Times New Roman"/>
      <w:b/>
      <w:bCs/>
      <w:sz w:val="20"/>
      <w:szCs w:val="20"/>
      <w:lang w:val="es-ES" w:eastAsia="es-ES"/>
    </w:rPr>
  </w:style>
  <w:style w:type="paragraph" w:styleId="Textonotapie">
    <w:name w:val="footnote text"/>
    <w:aliases w:val="Footnote Text Char Char Char Char Char,Footnote Text Char Char Char Char,Footnote reference,FA Fu, Car1,Texto nota pie Car1,Texto nota pie Car Car, Car1 Car2,ft,texto de nota al pie,Nota a pie/Bibliog,texto de nota al pie Car Car,ft1"/>
    <w:basedOn w:val="Normal"/>
    <w:link w:val="TextonotapieCar"/>
    <w:uiPriority w:val="99"/>
    <w:rsid w:val="005A5B0C"/>
    <w:rPr>
      <w:rFonts w:ascii="Times New Roman" w:eastAsia="Times New Roman" w:hAnsi="Times New Roman" w:cs="Times New Roman"/>
      <w:sz w:val="20"/>
      <w:szCs w:val="20"/>
      <w:lang w:val="es-ES" w:eastAsia="es-MX"/>
    </w:rPr>
  </w:style>
  <w:style w:type="character" w:customStyle="1" w:styleId="TextonotapieCar">
    <w:name w:val="Texto nota pie Car"/>
    <w:aliases w:val="Footnote Text Char Char Char Char Char Car,Footnote Text Char Char Char Char Car,Footnote reference Car,FA Fu Car, Car1 Car,Texto nota pie Car1 Car,Texto nota pie Car Car Car, Car1 Car2 Car,ft Car,texto de nota al pie Car,ft1 Car"/>
    <w:basedOn w:val="Fuentedeprrafopredeter"/>
    <w:link w:val="Textonotapie"/>
    <w:uiPriority w:val="99"/>
    <w:rsid w:val="005A5B0C"/>
    <w:rPr>
      <w:rFonts w:ascii="Times New Roman" w:eastAsia="Times New Roman" w:hAnsi="Times New Roman" w:cs="Times New Roman"/>
      <w:sz w:val="20"/>
      <w:szCs w:val="20"/>
      <w:lang w:val="es-ES" w:eastAsia="es-MX"/>
    </w:rPr>
  </w:style>
  <w:style w:type="paragraph" w:styleId="Encabezado">
    <w:name w:val="header"/>
    <w:basedOn w:val="Normal"/>
    <w:link w:val="EncabezadoCar"/>
    <w:uiPriority w:val="99"/>
    <w:semiHidden/>
    <w:unhideWhenUsed/>
    <w:rsid w:val="005A5B0C"/>
    <w:pPr>
      <w:tabs>
        <w:tab w:val="center" w:pos="4419"/>
        <w:tab w:val="right" w:pos="8838"/>
      </w:tabs>
    </w:pPr>
  </w:style>
  <w:style w:type="character" w:customStyle="1" w:styleId="EncabezadoCar">
    <w:name w:val="Encabezado Car"/>
    <w:basedOn w:val="Fuentedeprrafopredeter"/>
    <w:link w:val="Encabezado"/>
    <w:uiPriority w:val="99"/>
    <w:semiHidden/>
    <w:rsid w:val="005A5B0C"/>
    <w:rPr>
      <w:rFonts w:eastAsiaTheme="minorEastAsia"/>
      <w:lang w:eastAsia="es-ES_tradnl"/>
    </w:rPr>
  </w:style>
  <w:style w:type="paragraph" w:styleId="Piedepgina">
    <w:name w:val="footer"/>
    <w:basedOn w:val="Normal"/>
    <w:link w:val="PiedepginaCar"/>
    <w:uiPriority w:val="99"/>
    <w:unhideWhenUsed/>
    <w:rsid w:val="005A5B0C"/>
    <w:pPr>
      <w:tabs>
        <w:tab w:val="center" w:pos="4419"/>
        <w:tab w:val="right" w:pos="8838"/>
      </w:tabs>
    </w:pPr>
  </w:style>
  <w:style w:type="character" w:customStyle="1" w:styleId="PiedepginaCar">
    <w:name w:val="Pie de página Car"/>
    <w:basedOn w:val="Fuentedeprrafopredeter"/>
    <w:link w:val="Piedepgina"/>
    <w:uiPriority w:val="99"/>
    <w:rsid w:val="005A5B0C"/>
    <w:rPr>
      <w:rFonts w:eastAsiaTheme="minorEastAsia"/>
      <w:lang w:eastAsia="es-ES_tradnl"/>
    </w:rPr>
  </w:style>
  <w:style w:type="paragraph" w:styleId="Textocomentario">
    <w:name w:val="annotation text"/>
    <w:basedOn w:val="Normal"/>
    <w:link w:val="TextocomentarioCar"/>
    <w:uiPriority w:val="99"/>
    <w:rsid w:val="005A5B0C"/>
    <w:pPr>
      <w:jc w:val="both"/>
    </w:pPr>
    <w:rPr>
      <w:rFonts w:ascii="Arial" w:eastAsia="Times New Roman" w:hAnsi="Arial" w:cs="Times New Roman"/>
      <w:sz w:val="20"/>
      <w:szCs w:val="20"/>
    </w:rPr>
  </w:style>
  <w:style w:type="character" w:customStyle="1" w:styleId="TextocomentarioCar">
    <w:name w:val="Texto comentario Car"/>
    <w:basedOn w:val="Fuentedeprrafopredeter"/>
    <w:link w:val="Textocomentario"/>
    <w:uiPriority w:val="99"/>
    <w:rsid w:val="005A5B0C"/>
    <w:rPr>
      <w:rFonts w:ascii="Arial" w:eastAsia="Times New Roman" w:hAnsi="Arial" w:cs="Times New Roman"/>
      <w:sz w:val="20"/>
      <w:szCs w:val="20"/>
      <w:lang w:eastAsia="es-ES_tradnl"/>
    </w:rPr>
  </w:style>
  <w:style w:type="paragraph" w:customStyle="1" w:styleId="Listavistosa-nfasis12">
    <w:name w:val="Lista vistosa - Énfasis 12"/>
    <w:basedOn w:val="Normal"/>
    <w:qFormat/>
    <w:rsid w:val="005A5B0C"/>
    <w:pPr>
      <w:ind w:left="720"/>
      <w:contextualSpacing/>
    </w:pPr>
    <w:rPr>
      <w:rFonts w:ascii="Calibri" w:eastAsia="Calibri" w:hAnsi="Calibri" w:cs="Times New Roman"/>
      <w:lang w:val="en-US"/>
    </w:rPr>
  </w:style>
  <w:style w:type="paragraph" w:styleId="NormalWeb">
    <w:name w:val="Normal (Web)"/>
    <w:basedOn w:val="Normal"/>
    <w:uiPriority w:val="99"/>
    <w:unhideWhenUsed/>
    <w:rsid w:val="005A5B0C"/>
    <w:pPr>
      <w:spacing w:before="100" w:beforeAutospacing="1" w:after="100" w:afterAutospacing="1"/>
    </w:pPr>
    <w:rPr>
      <w:rFonts w:ascii="Times New Roman" w:eastAsia="Times New Roman" w:hAnsi="Times New Roman" w:cs="Times New Roman"/>
      <w:lang w:eastAsia="es-CO"/>
    </w:rPr>
  </w:style>
  <w:style w:type="character" w:styleId="Refdecomentario">
    <w:name w:val="annotation reference"/>
    <w:basedOn w:val="Fuentedeprrafopredeter"/>
    <w:uiPriority w:val="99"/>
    <w:unhideWhenUsed/>
    <w:rsid w:val="005A5B0C"/>
    <w:rPr>
      <w:sz w:val="16"/>
      <w:szCs w:val="16"/>
    </w:rPr>
  </w:style>
  <w:style w:type="paragraph" w:styleId="Asuntodelcomentario">
    <w:name w:val="annotation subject"/>
    <w:basedOn w:val="Textocomentario"/>
    <w:next w:val="Textocomentario"/>
    <w:link w:val="AsuntodelcomentarioCar"/>
    <w:uiPriority w:val="99"/>
    <w:semiHidden/>
    <w:unhideWhenUsed/>
    <w:rsid w:val="005A5B0C"/>
    <w:pPr>
      <w:spacing w:after="200"/>
      <w:jc w:val="left"/>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5A5B0C"/>
    <w:rPr>
      <w:rFonts w:ascii="Arial" w:eastAsia="Times New Roman" w:hAnsi="Arial" w:cs="Times New Roman"/>
      <w:b/>
      <w:bCs/>
      <w:sz w:val="20"/>
      <w:szCs w:val="20"/>
      <w:lang w:eastAsia="es-ES_tradnl"/>
    </w:rPr>
  </w:style>
  <w:style w:type="character" w:customStyle="1" w:styleId="A3">
    <w:name w:val="A3"/>
    <w:uiPriority w:val="99"/>
    <w:rsid w:val="005A5B0C"/>
    <w:rPr>
      <w:rFonts w:cs="RijksoverheidSansText"/>
      <w:b/>
      <w:bCs/>
      <w:color w:val="000000"/>
    </w:rPr>
  </w:style>
  <w:style w:type="paragraph" w:styleId="Subttulo">
    <w:name w:val="Subtitle"/>
    <w:basedOn w:val="Normal"/>
    <w:next w:val="Normal"/>
    <w:link w:val="SubttuloCar"/>
    <w:uiPriority w:val="11"/>
    <w:qFormat/>
    <w:rsid w:val="005A5B0C"/>
    <w:pPr>
      <w:spacing w:after="60"/>
      <w:jc w:val="center"/>
      <w:outlineLvl w:val="1"/>
    </w:pPr>
    <w:rPr>
      <w:rFonts w:ascii="Maiandra GD" w:eastAsia="Times New Roman" w:hAnsi="Maiandra GD" w:cs="Times New Roman"/>
      <w:b/>
      <w:lang w:val="es-ES" w:eastAsia="es-ES"/>
    </w:rPr>
  </w:style>
  <w:style w:type="character" w:customStyle="1" w:styleId="SubttuloCar">
    <w:name w:val="Subtítulo Car"/>
    <w:basedOn w:val="Fuentedeprrafopredeter"/>
    <w:link w:val="Subttulo"/>
    <w:uiPriority w:val="11"/>
    <w:rsid w:val="005A5B0C"/>
    <w:rPr>
      <w:rFonts w:ascii="Maiandra GD" w:eastAsia="Times New Roman" w:hAnsi="Maiandra GD" w:cs="Times New Roman"/>
      <w:b/>
      <w:lang w:val="es-ES" w:eastAsia="es-ES"/>
    </w:rPr>
  </w:style>
  <w:style w:type="paragraph" w:styleId="Textoindependiente">
    <w:name w:val="Body Text"/>
    <w:basedOn w:val="Normal"/>
    <w:link w:val="TextoindependienteCar"/>
    <w:uiPriority w:val="99"/>
    <w:unhideWhenUsed/>
    <w:rsid w:val="005A5B0C"/>
    <w:pPr>
      <w:spacing w:after="120"/>
    </w:pPr>
  </w:style>
  <w:style w:type="character" w:customStyle="1" w:styleId="TextoindependienteCar">
    <w:name w:val="Texto independiente Car"/>
    <w:basedOn w:val="Fuentedeprrafopredeter"/>
    <w:link w:val="Textoindependiente"/>
    <w:uiPriority w:val="99"/>
    <w:rsid w:val="005A5B0C"/>
    <w:rPr>
      <w:rFonts w:eastAsiaTheme="minorEastAsia"/>
      <w:lang w:eastAsia="es-ES_tradnl"/>
    </w:rPr>
  </w:style>
  <w:style w:type="paragraph" w:styleId="TtulodeTDC">
    <w:name w:val="TOC Heading"/>
    <w:basedOn w:val="Ttulo1"/>
    <w:next w:val="Normal"/>
    <w:uiPriority w:val="39"/>
    <w:semiHidden/>
    <w:unhideWhenUsed/>
    <w:qFormat/>
    <w:rsid w:val="005A5B0C"/>
    <w:pPr>
      <w:outlineLvl w:val="9"/>
    </w:pPr>
    <w:rPr>
      <w:lang w:val="es-ES"/>
    </w:rPr>
  </w:style>
  <w:style w:type="paragraph" w:styleId="TDC1">
    <w:name w:val="toc 1"/>
    <w:basedOn w:val="Normal"/>
    <w:next w:val="Normal"/>
    <w:autoRedefine/>
    <w:uiPriority w:val="39"/>
    <w:unhideWhenUsed/>
    <w:rsid w:val="005A5B0C"/>
    <w:pPr>
      <w:spacing w:before="120"/>
    </w:pPr>
    <w:rPr>
      <w:b/>
    </w:rPr>
  </w:style>
  <w:style w:type="paragraph" w:styleId="TDC2">
    <w:name w:val="toc 2"/>
    <w:basedOn w:val="Normal"/>
    <w:next w:val="Normal"/>
    <w:autoRedefine/>
    <w:uiPriority w:val="39"/>
    <w:unhideWhenUsed/>
    <w:rsid w:val="005A5B0C"/>
    <w:pPr>
      <w:ind w:left="220"/>
    </w:pPr>
    <w:rPr>
      <w:b/>
    </w:rPr>
  </w:style>
  <w:style w:type="paragraph" w:styleId="TDC3">
    <w:name w:val="toc 3"/>
    <w:basedOn w:val="Normal"/>
    <w:next w:val="Normal"/>
    <w:autoRedefine/>
    <w:uiPriority w:val="39"/>
    <w:unhideWhenUsed/>
    <w:rsid w:val="005A5B0C"/>
    <w:pPr>
      <w:ind w:left="440"/>
    </w:pPr>
  </w:style>
  <w:style w:type="paragraph" w:customStyle="1" w:styleId="NormalDistrito">
    <w:name w:val="Normal Distrito"/>
    <w:basedOn w:val="Normal"/>
    <w:link w:val="NormalDistritoCar"/>
    <w:uiPriority w:val="99"/>
    <w:rsid w:val="005A5B0C"/>
    <w:pPr>
      <w:jc w:val="both"/>
    </w:pPr>
    <w:rPr>
      <w:rFonts w:ascii="Times New Roman" w:eastAsia="Times New Roman" w:hAnsi="Times New Roman" w:cs="Times New Roman"/>
      <w:lang w:val="es-ES"/>
    </w:rPr>
  </w:style>
  <w:style w:type="character" w:customStyle="1" w:styleId="NormalDistritoCar">
    <w:name w:val="Normal Distrito Car"/>
    <w:basedOn w:val="Fuentedeprrafopredeter"/>
    <w:link w:val="NormalDistrito"/>
    <w:uiPriority w:val="99"/>
    <w:locked/>
    <w:rsid w:val="005A5B0C"/>
    <w:rPr>
      <w:rFonts w:ascii="Times New Roman" w:eastAsia="Times New Roman" w:hAnsi="Times New Roman" w:cs="Times New Roman"/>
      <w:lang w:val="es-ES" w:eastAsia="es-ES_tradnl"/>
    </w:rPr>
  </w:style>
  <w:style w:type="character" w:styleId="Textoennegrita">
    <w:name w:val="Strong"/>
    <w:basedOn w:val="Fuentedeprrafopredeter"/>
    <w:uiPriority w:val="22"/>
    <w:qFormat/>
    <w:rsid w:val="005A5B0C"/>
    <w:rPr>
      <w:b/>
      <w:bCs/>
    </w:rPr>
  </w:style>
  <w:style w:type="paragraph" w:styleId="TDC4">
    <w:name w:val="toc 4"/>
    <w:basedOn w:val="Normal"/>
    <w:next w:val="Normal"/>
    <w:autoRedefine/>
    <w:uiPriority w:val="39"/>
    <w:semiHidden/>
    <w:unhideWhenUsed/>
    <w:rsid w:val="005A5B0C"/>
    <w:pPr>
      <w:ind w:left="660"/>
    </w:pPr>
    <w:rPr>
      <w:sz w:val="20"/>
      <w:szCs w:val="20"/>
    </w:rPr>
  </w:style>
  <w:style w:type="paragraph" w:styleId="TDC5">
    <w:name w:val="toc 5"/>
    <w:basedOn w:val="Normal"/>
    <w:next w:val="Normal"/>
    <w:autoRedefine/>
    <w:uiPriority w:val="39"/>
    <w:semiHidden/>
    <w:unhideWhenUsed/>
    <w:rsid w:val="005A5B0C"/>
    <w:pPr>
      <w:ind w:left="880"/>
    </w:pPr>
    <w:rPr>
      <w:sz w:val="20"/>
      <w:szCs w:val="20"/>
    </w:rPr>
  </w:style>
  <w:style w:type="paragraph" w:styleId="TDC6">
    <w:name w:val="toc 6"/>
    <w:basedOn w:val="Normal"/>
    <w:next w:val="Normal"/>
    <w:autoRedefine/>
    <w:uiPriority w:val="39"/>
    <w:semiHidden/>
    <w:unhideWhenUsed/>
    <w:rsid w:val="005A5B0C"/>
    <w:pPr>
      <w:ind w:left="1100"/>
    </w:pPr>
    <w:rPr>
      <w:sz w:val="20"/>
      <w:szCs w:val="20"/>
    </w:rPr>
  </w:style>
  <w:style w:type="paragraph" w:styleId="TDC7">
    <w:name w:val="toc 7"/>
    <w:basedOn w:val="Normal"/>
    <w:next w:val="Normal"/>
    <w:autoRedefine/>
    <w:uiPriority w:val="39"/>
    <w:semiHidden/>
    <w:unhideWhenUsed/>
    <w:rsid w:val="005A5B0C"/>
    <w:pPr>
      <w:ind w:left="1320"/>
    </w:pPr>
    <w:rPr>
      <w:sz w:val="20"/>
      <w:szCs w:val="20"/>
    </w:rPr>
  </w:style>
  <w:style w:type="paragraph" w:styleId="TDC8">
    <w:name w:val="toc 8"/>
    <w:basedOn w:val="Normal"/>
    <w:next w:val="Normal"/>
    <w:autoRedefine/>
    <w:uiPriority w:val="39"/>
    <w:semiHidden/>
    <w:unhideWhenUsed/>
    <w:rsid w:val="005A5B0C"/>
    <w:pPr>
      <w:ind w:left="1540"/>
    </w:pPr>
    <w:rPr>
      <w:sz w:val="20"/>
      <w:szCs w:val="20"/>
    </w:rPr>
  </w:style>
  <w:style w:type="paragraph" w:styleId="TDC9">
    <w:name w:val="toc 9"/>
    <w:basedOn w:val="Normal"/>
    <w:next w:val="Normal"/>
    <w:autoRedefine/>
    <w:uiPriority w:val="39"/>
    <w:semiHidden/>
    <w:unhideWhenUsed/>
    <w:rsid w:val="005A5B0C"/>
    <w:pPr>
      <w:ind w:left="1760"/>
    </w:pPr>
    <w:rPr>
      <w:sz w:val="20"/>
      <w:szCs w:val="20"/>
    </w:rPr>
  </w:style>
  <w:style w:type="character" w:styleId="Hipervnculovisitado">
    <w:name w:val="FollowedHyperlink"/>
    <w:basedOn w:val="Fuentedeprrafopredeter"/>
    <w:uiPriority w:val="99"/>
    <w:rsid w:val="005A5B0C"/>
    <w:rPr>
      <w:color w:val="800080"/>
      <w:u w:val="single"/>
    </w:rPr>
  </w:style>
  <w:style w:type="paragraph" w:customStyle="1" w:styleId="font5">
    <w:name w:val="font5"/>
    <w:basedOn w:val="Normal"/>
    <w:rsid w:val="005A5B0C"/>
    <w:pPr>
      <w:spacing w:beforeLines="1" w:afterLines="1"/>
    </w:pPr>
    <w:rPr>
      <w:rFonts w:ascii="Arial" w:hAnsi="Arial"/>
      <w:sz w:val="16"/>
      <w:szCs w:val="16"/>
    </w:rPr>
  </w:style>
  <w:style w:type="paragraph" w:customStyle="1" w:styleId="xl78">
    <w:name w:val="xl78"/>
    <w:basedOn w:val="Normal"/>
    <w:rsid w:val="005A5B0C"/>
    <w:pPr>
      <w:pBdr>
        <w:top w:val="single" w:sz="4" w:space="0" w:color="auto"/>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79">
    <w:name w:val="xl79"/>
    <w:basedOn w:val="Normal"/>
    <w:rsid w:val="005A5B0C"/>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New Roman" w:hAnsi="Times New Roman"/>
      <w:color w:val="000000"/>
      <w:sz w:val="20"/>
      <w:szCs w:val="20"/>
    </w:rPr>
  </w:style>
  <w:style w:type="paragraph" w:customStyle="1" w:styleId="xl80">
    <w:name w:val="xl80"/>
    <w:basedOn w:val="Normal"/>
    <w:rsid w:val="005A5B0C"/>
    <w:pPr>
      <w:pBdr>
        <w:top w:val="single" w:sz="4" w:space="0" w:color="auto"/>
        <w:left w:val="single" w:sz="4" w:space="0" w:color="auto"/>
        <w:bottom w:val="single" w:sz="4" w:space="0" w:color="auto"/>
        <w:right w:val="single" w:sz="4" w:space="0" w:color="auto"/>
      </w:pBdr>
      <w:spacing w:beforeLines="1" w:afterLines="1"/>
      <w:jc w:val="both"/>
      <w:textAlignment w:val="center"/>
    </w:pPr>
    <w:rPr>
      <w:rFonts w:ascii="Times New Roman" w:hAnsi="Times New Roman"/>
      <w:color w:val="000000"/>
      <w:sz w:val="20"/>
      <w:szCs w:val="20"/>
    </w:rPr>
  </w:style>
  <w:style w:type="paragraph" w:customStyle="1" w:styleId="xl81">
    <w:name w:val="xl81"/>
    <w:basedOn w:val="Normal"/>
    <w:rsid w:val="005A5B0C"/>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New Roman" w:hAnsi="Times New Roman"/>
      <w:color w:val="000000"/>
      <w:sz w:val="20"/>
      <w:szCs w:val="20"/>
    </w:rPr>
  </w:style>
  <w:style w:type="paragraph" w:customStyle="1" w:styleId="xl82">
    <w:name w:val="xl82"/>
    <w:basedOn w:val="Normal"/>
    <w:rsid w:val="005A5B0C"/>
    <w:pPr>
      <w:pBdr>
        <w:top w:val="single" w:sz="4" w:space="0" w:color="auto"/>
        <w:left w:val="single" w:sz="4" w:space="0" w:color="auto"/>
        <w:bottom w:val="single" w:sz="4" w:space="0" w:color="auto"/>
        <w:right w:val="single" w:sz="4" w:space="0" w:color="auto"/>
      </w:pBdr>
      <w:spacing w:beforeLines="1" w:afterLines="1"/>
    </w:pPr>
    <w:rPr>
      <w:rFonts w:ascii="Times New Roman" w:hAnsi="Times New Roman"/>
      <w:color w:val="000000"/>
      <w:sz w:val="20"/>
      <w:szCs w:val="20"/>
    </w:rPr>
  </w:style>
  <w:style w:type="paragraph" w:customStyle="1" w:styleId="xl83">
    <w:name w:val="xl83"/>
    <w:basedOn w:val="Normal"/>
    <w:rsid w:val="005A5B0C"/>
    <w:pPr>
      <w:pBdr>
        <w:top w:val="single" w:sz="4" w:space="0" w:color="auto"/>
        <w:left w:val="single" w:sz="4" w:space="0" w:color="auto"/>
        <w:bottom w:val="single" w:sz="4" w:space="0" w:color="auto"/>
        <w:right w:val="single" w:sz="4" w:space="0" w:color="auto"/>
      </w:pBdr>
      <w:spacing w:beforeLines="1" w:afterLines="1"/>
      <w:jc w:val="center"/>
    </w:pPr>
    <w:rPr>
      <w:rFonts w:ascii="Arial" w:hAnsi="Arial"/>
      <w:color w:val="000000"/>
      <w:sz w:val="20"/>
      <w:szCs w:val="20"/>
    </w:rPr>
  </w:style>
  <w:style w:type="paragraph" w:customStyle="1" w:styleId="xl84">
    <w:name w:val="xl84"/>
    <w:basedOn w:val="Normal"/>
    <w:rsid w:val="005A5B0C"/>
    <w:pPr>
      <w:pBdr>
        <w:top w:val="single" w:sz="4" w:space="0" w:color="auto"/>
        <w:left w:val="single" w:sz="4" w:space="0" w:color="auto"/>
        <w:bottom w:val="single" w:sz="4" w:space="0" w:color="auto"/>
        <w:right w:val="single" w:sz="4" w:space="0" w:color="auto"/>
      </w:pBdr>
      <w:spacing w:beforeLines="1" w:afterLines="1"/>
      <w:jc w:val="right"/>
      <w:textAlignment w:val="center"/>
    </w:pPr>
    <w:rPr>
      <w:rFonts w:ascii="Times New Roman" w:hAnsi="Times New Roman"/>
      <w:color w:val="000000"/>
      <w:sz w:val="20"/>
      <w:szCs w:val="20"/>
    </w:rPr>
  </w:style>
  <w:style w:type="paragraph" w:customStyle="1" w:styleId="xl85">
    <w:name w:val="xl85"/>
    <w:basedOn w:val="Normal"/>
    <w:rsid w:val="005A5B0C"/>
    <w:pPr>
      <w:pBdr>
        <w:top w:val="single" w:sz="4" w:space="0" w:color="auto"/>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86">
    <w:name w:val="xl86"/>
    <w:basedOn w:val="Normal"/>
    <w:rsid w:val="005A5B0C"/>
    <w:pPr>
      <w:pBdr>
        <w:top w:val="single" w:sz="4" w:space="0" w:color="auto"/>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87">
    <w:name w:val="xl87"/>
    <w:basedOn w:val="Normal"/>
    <w:rsid w:val="005A5B0C"/>
    <w:pPr>
      <w:pBdr>
        <w:top w:val="single" w:sz="4" w:space="0" w:color="auto"/>
        <w:left w:val="single" w:sz="4" w:space="0" w:color="auto"/>
        <w:bottom w:val="single" w:sz="4" w:space="0" w:color="auto"/>
        <w:right w:val="single" w:sz="4" w:space="0" w:color="auto"/>
      </w:pBdr>
      <w:spacing w:beforeLines="1" w:afterLines="1"/>
      <w:jc w:val="right"/>
      <w:textAlignment w:val="center"/>
    </w:pPr>
    <w:rPr>
      <w:rFonts w:ascii="Times New Roman" w:hAnsi="Times New Roman"/>
      <w:color w:val="000000"/>
      <w:sz w:val="20"/>
      <w:szCs w:val="20"/>
    </w:rPr>
  </w:style>
  <w:style w:type="paragraph" w:customStyle="1" w:styleId="xl88">
    <w:name w:val="xl88"/>
    <w:basedOn w:val="Normal"/>
    <w:rsid w:val="005A5B0C"/>
    <w:pPr>
      <w:pBdr>
        <w:top w:val="single" w:sz="4" w:space="0" w:color="auto"/>
        <w:left w:val="single" w:sz="4" w:space="0" w:color="auto"/>
        <w:right w:val="single" w:sz="4" w:space="0" w:color="auto"/>
      </w:pBdr>
      <w:spacing w:beforeLines="1" w:afterLines="1"/>
      <w:jc w:val="both"/>
      <w:textAlignment w:val="center"/>
    </w:pPr>
    <w:rPr>
      <w:rFonts w:ascii="Times New Roman" w:hAnsi="Times New Roman"/>
      <w:color w:val="000000"/>
      <w:sz w:val="20"/>
      <w:szCs w:val="20"/>
    </w:rPr>
  </w:style>
  <w:style w:type="paragraph" w:customStyle="1" w:styleId="xl89">
    <w:name w:val="xl89"/>
    <w:basedOn w:val="Normal"/>
    <w:rsid w:val="005A5B0C"/>
    <w:pPr>
      <w:pBdr>
        <w:top w:val="single" w:sz="4" w:space="0" w:color="auto"/>
        <w:left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90">
    <w:name w:val="xl90"/>
    <w:basedOn w:val="Normal"/>
    <w:rsid w:val="005A5B0C"/>
    <w:pPr>
      <w:pBdr>
        <w:top w:val="single" w:sz="4" w:space="0" w:color="auto"/>
        <w:left w:val="single" w:sz="4" w:space="0" w:color="auto"/>
        <w:right w:val="single" w:sz="4" w:space="0" w:color="auto"/>
      </w:pBdr>
      <w:spacing w:beforeLines="1" w:afterLines="1"/>
      <w:jc w:val="center"/>
      <w:textAlignment w:val="center"/>
    </w:pPr>
    <w:rPr>
      <w:rFonts w:ascii="Times New Roman" w:hAnsi="Times New Roman"/>
      <w:color w:val="000000"/>
      <w:sz w:val="20"/>
      <w:szCs w:val="20"/>
    </w:rPr>
  </w:style>
  <w:style w:type="paragraph" w:customStyle="1" w:styleId="xl91">
    <w:name w:val="xl91"/>
    <w:basedOn w:val="Normal"/>
    <w:rsid w:val="005A5B0C"/>
    <w:pPr>
      <w:pBdr>
        <w:top w:val="single" w:sz="4" w:space="0" w:color="auto"/>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paragraph" w:customStyle="1" w:styleId="xl92">
    <w:name w:val="xl92"/>
    <w:basedOn w:val="Normal"/>
    <w:rsid w:val="005A5B0C"/>
    <w:pPr>
      <w:pBdr>
        <w:top w:val="single" w:sz="4" w:space="0" w:color="auto"/>
        <w:left w:val="single" w:sz="4" w:space="0" w:color="auto"/>
        <w:right w:val="single" w:sz="4" w:space="0" w:color="auto"/>
      </w:pBdr>
      <w:spacing w:beforeLines="1" w:afterLines="1"/>
      <w:jc w:val="right"/>
      <w:textAlignment w:val="center"/>
    </w:pPr>
    <w:rPr>
      <w:rFonts w:ascii="Times New Roman" w:hAnsi="Times New Roman"/>
      <w:color w:val="000000"/>
      <w:sz w:val="20"/>
      <w:szCs w:val="20"/>
    </w:rPr>
  </w:style>
  <w:style w:type="paragraph" w:customStyle="1" w:styleId="xl93">
    <w:name w:val="xl93"/>
    <w:basedOn w:val="Normal"/>
    <w:rsid w:val="005A5B0C"/>
    <w:pPr>
      <w:pBdr>
        <w:left w:val="single" w:sz="4" w:space="0" w:color="auto"/>
        <w:bottom w:val="single" w:sz="4" w:space="0" w:color="auto"/>
        <w:right w:val="single" w:sz="4" w:space="0" w:color="auto"/>
      </w:pBdr>
      <w:spacing w:beforeLines="1" w:afterLines="1"/>
      <w:jc w:val="right"/>
      <w:textAlignment w:val="center"/>
    </w:pPr>
    <w:rPr>
      <w:rFonts w:ascii="Times New Roman" w:hAnsi="Times New Roman"/>
      <w:color w:val="000000"/>
      <w:sz w:val="20"/>
      <w:szCs w:val="20"/>
    </w:rPr>
  </w:style>
  <w:style w:type="paragraph" w:customStyle="1" w:styleId="xl94">
    <w:name w:val="xl94"/>
    <w:basedOn w:val="Normal"/>
    <w:rsid w:val="005A5B0C"/>
    <w:pPr>
      <w:pBdr>
        <w:left w:val="single" w:sz="4" w:space="0" w:color="auto"/>
        <w:bottom w:val="single" w:sz="4" w:space="0" w:color="auto"/>
        <w:right w:val="single" w:sz="4" w:space="0" w:color="auto"/>
      </w:pBdr>
      <w:spacing w:beforeLines="1" w:afterLines="1"/>
      <w:textAlignment w:val="center"/>
    </w:pPr>
    <w:rPr>
      <w:rFonts w:ascii="Times New Roman" w:hAnsi="Times New Roman"/>
      <w:color w:val="000000"/>
      <w:sz w:val="20"/>
      <w:szCs w:val="20"/>
    </w:rPr>
  </w:style>
  <w:style w:type="character" w:customStyle="1" w:styleId="apple-converted-space">
    <w:name w:val="apple-converted-space"/>
    <w:basedOn w:val="Fuentedeprrafopredeter"/>
    <w:rsid w:val="005A5B0C"/>
  </w:style>
  <w:style w:type="character" w:styleId="Nmerodepgina">
    <w:name w:val="page number"/>
    <w:basedOn w:val="Fuentedeprrafopredeter"/>
    <w:uiPriority w:val="99"/>
    <w:semiHidden/>
    <w:unhideWhenUsed/>
    <w:rsid w:val="00E57373"/>
  </w:style>
  <w:style w:type="paragraph" w:customStyle="1" w:styleId="Chapter">
    <w:name w:val="Chapter"/>
    <w:basedOn w:val="Normal"/>
    <w:next w:val="Normal"/>
    <w:uiPriority w:val="99"/>
    <w:rsid w:val="003940C8"/>
    <w:pPr>
      <w:tabs>
        <w:tab w:val="left" w:pos="1440"/>
      </w:tabs>
      <w:spacing w:before="240" w:after="240"/>
      <w:ind w:left="720" w:hanging="360"/>
      <w:jc w:val="center"/>
    </w:pPr>
    <w:rPr>
      <w:rFonts w:ascii="Times New Roman" w:eastAsia="Times New Roman" w:hAnsi="Times New Roman" w:cs="Times New Roman"/>
      <w:b/>
      <w:smallCaps/>
      <w:noProof/>
      <w:szCs w:val="20"/>
      <w:lang w:val="en-US" w:eastAsia="en-US"/>
    </w:rPr>
  </w:style>
  <w:style w:type="paragraph" w:customStyle="1" w:styleId="Paragraph">
    <w:name w:val="Paragraph"/>
    <w:aliases w:val="paragraph,p,PARAGRAPH,PG,pa,at"/>
    <w:basedOn w:val="Sangradetextonormal"/>
    <w:link w:val="ParagraphCar"/>
    <w:rsid w:val="003940C8"/>
    <w:pPr>
      <w:numPr>
        <w:ilvl w:val="0"/>
      </w:numPr>
      <w:tabs>
        <w:tab w:val="clear" w:pos="648"/>
        <w:tab w:val="num" w:pos="720"/>
      </w:tabs>
      <w:ind w:hanging="720"/>
    </w:pPr>
    <w:rPr>
      <w:rFonts w:ascii="Times New Roman" w:eastAsia="Times New Roman" w:hAnsi="Times New Roman" w:cs="Times New Roman"/>
      <w:lang w:val="es-ES" w:eastAsia="es-ES"/>
    </w:rPr>
  </w:style>
  <w:style w:type="paragraph" w:styleId="Sangradetextonormal">
    <w:name w:val="Body Text Indent"/>
    <w:basedOn w:val="Normal"/>
    <w:link w:val="SangradetextonormalCar"/>
    <w:rsid w:val="003940C8"/>
    <w:pPr>
      <w:numPr>
        <w:ilvl w:val="1"/>
        <w:numId w:val="8"/>
      </w:numPr>
      <w:tabs>
        <w:tab w:val="clear" w:pos="720"/>
      </w:tabs>
      <w:spacing w:after="120"/>
      <w:ind w:left="283" w:firstLine="0"/>
    </w:pPr>
    <w:rPr>
      <w:rFonts w:eastAsiaTheme="minorHAnsi"/>
      <w:lang w:eastAsia="en-US"/>
    </w:rPr>
  </w:style>
  <w:style w:type="character" w:customStyle="1" w:styleId="SangradetextonormalCar">
    <w:name w:val="Sangría de texto normal Car"/>
    <w:basedOn w:val="Fuentedeprrafopredeter"/>
    <w:link w:val="Sangradetextonormal"/>
    <w:rsid w:val="003940C8"/>
  </w:style>
  <w:style w:type="character" w:customStyle="1" w:styleId="ParagraphCar">
    <w:name w:val="Paragraph Car"/>
    <w:basedOn w:val="Fuentedeprrafopredeter"/>
    <w:link w:val="Paragraph"/>
    <w:rsid w:val="003940C8"/>
    <w:rPr>
      <w:rFonts w:ascii="Times New Roman" w:eastAsia="Times New Roman" w:hAnsi="Times New Roman" w:cs="Times New Roman"/>
      <w:lang w:val="es-ES" w:eastAsia="es-ES"/>
    </w:rPr>
  </w:style>
  <w:style w:type="paragraph" w:customStyle="1" w:styleId="font6">
    <w:name w:val="font6"/>
    <w:basedOn w:val="Normal"/>
    <w:rsid w:val="003940C8"/>
    <w:pPr>
      <w:spacing w:beforeLines="1" w:afterLines="1"/>
    </w:pPr>
    <w:rPr>
      <w:rFonts w:ascii="Calibri" w:eastAsiaTheme="minorHAnsi" w:hAnsi="Calibri"/>
      <w:color w:val="000000"/>
      <w:sz w:val="22"/>
      <w:szCs w:val="22"/>
    </w:rPr>
  </w:style>
  <w:style w:type="paragraph" w:customStyle="1" w:styleId="xl24">
    <w:name w:val="xl24"/>
    <w:basedOn w:val="Normal"/>
    <w:rsid w:val="003940C8"/>
    <w:pPr>
      <w:pBdr>
        <w:top w:val="single" w:sz="4" w:space="0" w:color="auto"/>
        <w:left w:val="single" w:sz="4" w:space="0" w:color="auto"/>
        <w:bottom w:val="single" w:sz="8"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25">
    <w:name w:val="xl25"/>
    <w:basedOn w:val="Normal"/>
    <w:rsid w:val="003940C8"/>
    <w:pPr>
      <w:spacing w:beforeLines="1" w:afterLines="1"/>
    </w:pPr>
    <w:rPr>
      <w:rFonts w:ascii="Times" w:eastAsiaTheme="minorHAnsi" w:hAnsi="Times"/>
      <w:b/>
      <w:bCs/>
      <w:sz w:val="20"/>
      <w:szCs w:val="20"/>
    </w:rPr>
  </w:style>
  <w:style w:type="paragraph" w:customStyle="1" w:styleId="xl26">
    <w:name w:val="xl26"/>
    <w:basedOn w:val="Normal"/>
    <w:rsid w:val="003940C8"/>
    <w:pPr>
      <w:pBdr>
        <w:top w:val="single" w:sz="8" w:space="0" w:color="auto"/>
        <w:left w:val="single" w:sz="4"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27">
    <w:name w:val="xl27"/>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28">
    <w:name w:val="xl28"/>
    <w:basedOn w:val="Normal"/>
    <w:rsid w:val="003940C8"/>
    <w:pPr>
      <w:pBdr>
        <w:top w:val="single" w:sz="4" w:space="0" w:color="auto"/>
        <w:left w:val="single" w:sz="4"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29">
    <w:name w:val="xl29"/>
    <w:basedOn w:val="Normal"/>
    <w:rsid w:val="003940C8"/>
    <w:pPr>
      <w:pBdr>
        <w:top w:val="single" w:sz="8" w:space="0" w:color="auto"/>
        <w:left w:val="single" w:sz="4" w:space="0" w:color="auto"/>
        <w:bottom w:val="single" w:sz="4"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30">
    <w:name w:val="xl30"/>
    <w:basedOn w:val="Normal"/>
    <w:rsid w:val="003940C8"/>
    <w:pPr>
      <w:pBdr>
        <w:top w:val="single" w:sz="4" w:space="0" w:color="auto"/>
        <w:left w:val="single" w:sz="4" w:space="0" w:color="auto"/>
        <w:bottom w:val="single" w:sz="8"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31">
    <w:name w:val="xl31"/>
    <w:basedOn w:val="Normal"/>
    <w:rsid w:val="003940C8"/>
    <w:pPr>
      <w:pBdr>
        <w:top w:val="single" w:sz="4" w:space="0" w:color="auto"/>
        <w:left w:val="single" w:sz="4" w:space="0" w:color="auto"/>
        <w:bottom w:val="single" w:sz="4" w:space="0" w:color="auto"/>
        <w:right w:val="single" w:sz="4" w:space="0" w:color="auto"/>
      </w:pBdr>
      <w:shd w:val="clear" w:color="auto" w:fill="000000"/>
      <w:spacing w:beforeLines="1" w:afterLines="1"/>
      <w:jc w:val="center"/>
      <w:textAlignment w:val="center"/>
    </w:pPr>
    <w:rPr>
      <w:rFonts w:ascii="Times" w:eastAsiaTheme="minorHAnsi" w:hAnsi="Times"/>
      <w:color w:val="FFFFFF"/>
      <w:sz w:val="20"/>
      <w:szCs w:val="20"/>
    </w:rPr>
  </w:style>
  <w:style w:type="paragraph" w:customStyle="1" w:styleId="xl32">
    <w:name w:val="xl32"/>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sz w:val="20"/>
      <w:szCs w:val="20"/>
    </w:rPr>
  </w:style>
  <w:style w:type="paragraph" w:customStyle="1" w:styleId="xl33">
    <w:name w:val="xl33"/>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34">
    <w:name w:val="xl34"/>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sz w:val="20"/>
      <w:szCs w:val="20"/>
    </w:rPr>
  </w:style>
  <w:style w:type="paragraph" w:customStyle="1" w:styleId="xl35">
    <w:name w:val="xl35"/>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36">
    <w:name w:val="xl36"/>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b/>
      <w:bCs/>
      <w:sz w:val="20"/>
      <w:szCs w:val="20"/>
    </w:rPr>
  </w:style>
  <w:style w:type="paragraph" w:customStyle="1" w:styleId="xl37">
    <w:name w:val="xl37"/>
    <w:basedOn w:val="Normal"/>
    <w:rsid w:val="003940C8"/>
    <w:pPr>
      <w:pBdr>
        <w:top w:val="single" w:sz="4" w:space="0" w:color="auto"/>
        <w:left w:val="single" w:sz="4" w:space="0" w:color="auto"/>
        <w:right w:val="single" w:sz="4" w:space="0" w:color="auto"/>
      </w:pBdr>
      <w:spacing w:beforeLines="1" w:afterLines="1"/>
      <w:textAlignment w:val="center"/>
    </w:pPr>
    <w:rPr>
      <w:rFonts w:ascii="Times" w:eastAsiaTheme="minorHAnsi" w:hAnsi="Times"/>
      <w:sz w:val="20"/>
      <w:szCs w:val="20"/>
    </w:rPr>
  </w:style>
  <w:style w:type="paragraph" w:customStyle="1" w:styleId="xl38">
    <w:name w:val="xl38"/>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39">
    <w:name w:val="xl39"/>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40">
    <w:name w:val="xl40"/>
    <w:basedOn w:val="Normal"/>
    <w:rsid w:val="003940C8"/>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Calibri" w:eastAsiaTheme="minorHAnsi" w:hAnsi="Calibri"/>
      <w:sz w:val="22"/>
      <w:szCs w:val="22"/>
    </w:rPr>
  </w:style>
  <w:style w:type="paragraph" w:customStyle="1" w:styleId="xl41">
    <w:name w:val="xl41"/>
    <w:basedOn w:val="Normal"/>
    <w:rsid w:val="003940C8"/>
    <w:pPr>
      <w:pBdr>
        <w:top w:val="single" w:sz="4" w:space="0" w:color="auto"/>
        <w:left w:val="single" w:sz="4" w:space="0" w:color="auto"/>
        <w:right w:val="single" w:sz="4" w:space="0" w:color="auto"/>
      </w:pBdr>
      <w:spacing w:beforeLines="1" w:afterLines="1"/>
      <w:textAlignment w:val="center"/>
    </w:pPr>
    <w:rPr>
      <w:rFonts w:ascii="Times" w:eastAsiaTheme="minorHAnsi" w:hAnsi="Times"/>
      <w:b/>
      <w:bCs/>
      <w:sz w:val="20"/>
      <w:szCs w:val="20"/>
    </w:rPr>
  </w:style>
  <w:style w:type="paragraph" w:customStyle="1" w:styleId="xl42">
    <w:name w:val="xl42"/>
    <w:basedOn w:val="Normal"/>
    <w:rsid w:val="003940C8"/>
    <w:pPr>
      <w:pBdr>
        <w:top w:val="single" w:sz="4" w:space="0" w:color="auto"/>
        <w:left w:val="single" w:sz="4"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43">
    <w:name w:val="xl43"/>
    <w:basedOn w:val="Normal"/>
    <w:rsid w:val="003940C8"/>
    <w:pPr>
      <w:pBdr>
        <w:top w:val="single" w:sz="4" w:space="0" w:color="auto"/>
        <w:left w:val="single" w:sz="4" w:space="0" w:color="auto"/>
        <w:right w:val="single" w:sz="4" w:space="0" w:color="auto"/>
      </w:pBdr>
      <w:spacing w:beforeLines="1" w:afterLines="1"/>
    </w:pPr>
    <w:rPr>
      <w:rFonts w:ascii="Times" w:eastAsiaTheme="minorHAnsi" w:hAnsi="Times"/>
      <w:sz w:val="20"/>
      <w:szCs w:val="20"/>
    </w:rPr>
  </w:style>
  <w:style w:type="paragraph" w:customStyle="1" w:styleId="xl44">
    <w:name w:val="xl44"/>
    <w:basedOn w:val="Normal"/>
    <w:rsid w:val="003940C8"/>
    <w:pPr>
      <w:pBdr>
        <w:top w:val="single" w:sz="8" w:space="0" w:color="auto"/>
        <w:left w:val="single" w:sz="4"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45">
    <w:name w:val="xl45"/>
    <w:basedOn w:val="Normal"/>
    <w:rsid w:val="003940C8"/>
    <w:pPr>
      <w:pBdr>
        <w:top w:val="single" w:sz="8" w:space="0" w:color="auto"/>
        <w:left w:val="single" w:sz="4" w:space="0" w:color="auto"/>
        <w:bottom w:val="single" w:sz="4" w:space="0" w:color="auto"/>
        <w:right w:val="single" w:sz="8" w:space="0" w:color="auto"/>
      </w:pBdr>
      <w:spacing w:beforeLines="1" w:afterLines="1"/>
      <w:textAlignment w:val="center"/>
    </w:pPr>
    <w:rPr>
      <w:rFonts w:ascii="Calibri" w:eastAsiaTheme="minorHAnsi" w:hAnsi="Calibri"/>
      <w:sz w:val="22"/>
      <w:szCs w:val="22"/>
    </w:rPr>
  </w:style>
  <w:style w:type="paragraph" w:customStyle="1" w:styleId="xl46">
    <w:name w:val="xl46"/>
    <w:basedOn w:val="Normal"/>
    <w:rsid w:val="003940C8"/>
    <w:pPr>
      <w:pBdr>
        <w:top w:val="single" w:sz="4" w:space="0" w:color="auto"/>
        <w:left w:val="single" w:sz="4" w:space="0" w:color="auto"/>
        <w:bottom w:val="single" w:sz="4" w:space="0" w:color="auto"/>
        <w:right w:val="single" w:sz="8" w:space="0" w:color="auto"/>
      </w:pBdr>
      <w:spacing w:beforeLines="1" w:afterLines="1"/>
      <w:textAlignment w:val="center"/>
    </w:pPr>
    <w:rPr>
      <w:rFonts w:ascii="Calibri" w:eastAsiaTheme="minorHAnsi" w:hAnsi="Calibri"/>
      <w:sz w:val="22"/>
      <w:szCs w:val="22"/>
    </w:rPr>
  </w:style>
  <w:style w:type="paragraph" w:customStyle="1" w:styleId="xl47">
    <w:name w:val="xl47"/>
    <w:basedOn w:val="Normal"/>
    <w:rsid w:val="003940C8"/>
    <w:pPr>
      <w:pBdr>
        <w:top w:val="single" w:sz="4" w:space="0" w:color="auto"/>
        <w:left w:val="single" w:sz="8"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48">
    <w:name w:val="xl48"/>
    <w:basedOn w:val="Normal"/>
    <w:rsid w:val="003940C8"/>
    <w:pPr>
      <w:pBdr>
        <w:top w:val="single" w:sz="4" w:space="0" w:color="auto"/>
        <w:left w:val="single" w:sz="4" w:space="0" w:color="auto"/>
        <w:bottom w:val="single" w:sz="4" w:space="0" w:color="auto"/>
        <w:right w:val="single" w:sz="8" w:space="0" w:color="auto"/>
      </w:pBdr>
      <w:spacing w:beforeLines="1" w:afterLines="1"/>
      <w:textAlignment w:val="center"/>
    </w:pPr>
    <w:rPr>
      <w:rFonts w:ascii="Times" w:eastAsiaTheme="minorHAnsi" w:hAnsi="Times"/>
      <w:sz w:val="20"/>
      <w:szCs w:val="20"/>
    </w:rPr>
  </w:style>
  <w:style w:type="paragraph" w:customStyle="1" w:styleId="xl49">
    <w:name w:val="xl49"/>
    <w:basedOn w:val="Normal"/>
    <w:rsid w:val="003940C8"/>
    <w:pPr>
      <w:pBdr>
        <w:top w:val="single" w:sz="4" w:space="0" w:color="auto"/>
        <w:left w:val="single" w:sz="8"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0">
    <w:name w:val="xl50"/>
    <w:basedOn w:val="Normal"/>
    <w:rsid w:val="003940C8"/>
    <w:pPr>
      <w:pBdr>
        <w:top w:val="single" w:sz="4" w:space="0" w:color="auto"/>
        <w:left w:val="single" w:sz="4" w:space="0" w:color="auto"/>
        <w:bottom w:val="single" w:sz="8" w:space="0" w:color="auto"/>
        <w:right w:val="single" w:sz="8" w:space="0" w:color="auto"/>
      </w:pBdr>
      <w:spacing w:beforeLines="1" w:afterLines="1"/>
      <w:textAlignment w:val="center"/>
    </w:pPr>
    <w:rPr>
      <w:rFonts w:ascii="Calibri" w:eastAsiaTheme="minorHAnsi" w:hAnsi="Calibri"/>
      <w:sz w:val="22"/>
      <w:szCs w:val="22"/>
    </w:rPr>
  </w:style>
  <w:style w:type="paragraph" w:customStyle="1" w:styleId="xl51">
    <w:name w:val="xl51"/>
    <w:basedOn w:val="Normal"/>
    <w:rsid w:val="003940C8"/>
    <w:pPr>
      <w:pBdr>
        <w:top w:val="single" w:sz="8" w:space="0" w:color="auto"/>
        <w:left w:val="single" w:sz="8"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2">
    <w:name w:val="xl52"/>
    <w:basedOn w:val="Normal"/>
    <w:rsid w:val="003940C8"/>
    <w:pPr>
      <w:pBdr>
        <w:top w:val="single" w:sz="4" w:space="0" w:color="auto"/>
        <w:left w:val="single" w:sz="4" w:space="0" w:color="auto"/>
        <w:bottom w:val="single" w:sz="8" w:space="0" w:color="auto"/>
        <w:right w:val="single" w:sz="4" w:space="0" w:color="auto"/>
      </w:pBdr>
      <w:spacing w:beforeLines="1" w:afterLines="1"/>
      <w:textAlignment w:val="center"/>
    </w:pPr>
    <w:rPr>
      <w:rFonts w:ascii="Times" w:eastAsiaTheme="minorHAnsi" w:hAnsi="Times"/>
      <w:sz w:val="20"/>
      <w:szCs w:val="20"/>
    </w:rPr>
  </w:style>
  <w:style w:type="paragraph" w:customStyle="1" w:styleId="xl53">
    <w:name w:val="xl53"/>
    <w:basedOn w:val="Normal"/>
    <w:rsid w:val="003940C8"/>
    <w:pPr>
      <w:pBdr>
        <w:top w:val="single" w:sz="4" w:space="0" w:color="auto"/>
        <w:left w:val="single" w:sz="4" w:space="0" w:color="auto"/>
        <w:bottom w:val="single" w:sz="8"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54">
    <w:name w:val="xl54"/>
    <w:basedOn w:val="Normal"/>
    <w:rsid w:val="003940C8"/>
    <w:pPr>
      <w:pBdr>
        <w:top w:val="single" w:sz="8" w:space="0" w:color="auto"/>
        <w:left w:val="single" w:sz="4" w:space="0" w:color="auto"/>
        <w:bottom w:val="single" w:sz="4" w:space="0" w:color="auto"/>
        <w:right w:val="single" w:sz="4" w:space="0" w:color="auto"/>
      </w:pBdr>
      <w:spacing w:beforeLines="1" w:afterLines="1"/>
      <w:jc w:val="center"/>
      <w:textAlignment w:val="center"/>
    </w:pPr>
    <w:rPr>
      <w:rFonts w:ascii="Times" w:eastAsiaTheme="minorHAnsi" w:hAnsi="Times"/>
      <w:sz w:val="20"/>
      <w:szCs w:val="20"/>
    </w:rPr>
  </w:style>
  <w:style w:type="paragraph" w:customStyle="1" w:styleId="xl55">
    <w:name w:val="xl55"/>
    <w:basedOn w:val="Normal"/>
    <w:rsid w:val="003940C8"/>
    <w:pPr>
      <w:pBdr>
        <w:top w:val="single" w:sz="4" w:space="0" w:color="auto"/>
        <w:left w:val="single" w:sz="4"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6">
    <w:name w:val="xl56"/>
    <w:basedOn w:val="Normal"/>
    <w:rsid w:val="003940C8"/>
    <w:pPr>
      <w:pBdr>
        <w:top w:val="single" w:sz="4" w:space="0" w:color="auto"/>
        <w:left w:val="single" w:sz="4"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7">
    <w:name w:val="xl57"/>
    <w:basedOn w:val="Normal"/>
    <w:rsid w:val="003940C8"/>
    <w:pPr>
      <w:pBdr>
        <w:top w:val="single" w:sz="8" w:space="0" w:color="auto"/>
        <w:left w:val="single" w:sz="8"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8">
    <w:name w:val="xl58"/>
    <w:basedOn w:val="Normal"/>
    <w:rsid w:val="003940C8"/>
    <w:pPr>
      <w:pBdr>
        <w:top w:val="single" w:sz="4" w:space="0" w:color="auto"/>
        <w:left w:val="single" w:sz="8" w:space="0" w:color="auto"/>
        <w:bottom w:val="single" w:sz="4"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59">
    <w:name w:val="xl59"/>
    <w:basedOn w:val="Normal"/>
    <w:rsid w:val="003940C8"/>
    <w:pPr>
      <w:pBdr>
        <w:top w:val="single" w:sz="4" w:space="0" w:color="auto"/>
        <w:left w:val="single" w:sz="8"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60">
    <w:name w:val="xl60"/>
    <w:basedOn w:val="Normal"/>
    <w:rsid w:val="003940C8"/>
    <w:pPr>
      <w:pBdr>
        <w:top w:val="single" w:sz="4" w:space="0" w:color="auto"/>
        <w:left w:val="single" w:sz="4" w:space="0" w:color="auto"/>
        <w:right w:val="single" w:sz="8" w:space="0" w:color="auto"/>
      </w:pBdr>
      <w:spacing w:beforeLines="1" w:afterLines="1"/>
      <w:textAlignment w:val="center"/>
    </w:pPr>
    <w:rPr>
      <w:rFonts w:ascii="Times" w:eastAsiaTheme="minorHAnsi" w:hAnsi="Times"/>
      <w:b/>
      <w:bCs/>
      <w:sz w:val="20"/>
      <w:szCs w:val="20"/>
    </w:rPr>
  </w:style>
  <w:style w:type="paragraph" w:customStyle="1" w:styleId="xl61">
    <w:name w:val="xl61"/>
    <w:basedOn w:val="Normal"/>
    <w:rsid w:val="003940C8"/>
    <w:pPr>
      <w:pBdr>
        <w:left w:val="single" w:sz="4" w:space="0" w:color="auto"/>
        <w:right w:val="single" w:sz="8" w:space="0" w:color="auto"/>
      </w:pBdr>
      <w:spacing w:beforeLines="1" w:afterLines="1"/>
      <w:textAlignment w:val="center"/>
    </w:pPr>
    <w:rPr>
      <w:rFonts w:ascii="Times" w:eastAsiaTheme="minorHAnsi" w:hAnsi="Times"/>
      <w:b/>
      <w:bCs/>
      <w:sz w:val="20"/>
      <w:szCs w:val="20"/>
    </w:rPr>
  </w:style>
  <w:style w:type="paragraph" w:customStyle="1" w:styleId="xl62">
    <w:name w:val="xl62"/>
    <w:basedOn w:val="Normal"/>
    <w:rsid w:val="003940C8"/>
    <w:pPr>
      <w:pBdr>
        <w:left w:val="single" w:sz="4" w:space="0" w:color="auto"/>
        <w:bottom w:val="single" w:sz="4" w:space="0" w:color="auto"/>
        <w:right w:val="single" w:sz="8" w:space="0" w:color="auto"/>
      </w:pBdr>
      <w:spacing w:beforeLines="1" w:afterLines="1"/>
      <w:textAlignment w:val="center"/>
    </w:pPr>
    <w:rPr>
      <w:rFonts w:ascii="Times" w:eastAsiaTheme="minorHAnsi" w:hAnsi="Times"/>
      <w:b/>
      <w:bCs/>
      <w:sz w:val="20"/>
      <w:szCs w:val="20"/>
    </w:rPr>
  </w:style>
  <w:style w:type="paragraph" w:customStyle="1" w:styleId="xl63">
    <w:name w:val="xl63"/>
    <w:basedOn w:val="Normal"/>
    <w:rsid w:val="003940C8"/>
    <w:pPr>
      <w:pBdr>
        <w:top w:val="single" w:sz="8" w:space="0" w:color="auto"/>
        <w:left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64">
    <w:name w:val="xl64"/>
    <w:basedOn w:val="Normal"/>
    <w:rsid w:val="003940C8"/>
    <w:pPr>
      <w:pBdr>
        <w:left w:val="single" w:sz="8" w:space="0" w:color="auto"/>
        <w:right w:val="single" w:sz="4" w:space="0" w:color="auto"/>
      </w:pBdr>
      <w:spacing w:beforeLines="1" w:afterLines="1"/>
      <w:textAlignment w:val="center"/>
    </w:pPr>
    <w:rPr>
      <w:rFonts w:ascii="Calibri" w:eastAsiaTheme="minorHAnsi" w:hAnsi="Calibri"/>
      <w:sz w:val="22"/>
      <w:szCs w:val="22"/>
    </w:rPr>
  </w:style>
  <w:style w:type="paragraph" w:customStyle="1" w:styleId="xl65">
    <w:name w:val="xl65"/>
    <w:basedOn w:val="Normal"/>
    <w:rsid w:val="003940C8"/>
    <w:pPr>
      <w:pBdr>
        <w:left w:val="single" w:sz="8" w:space="0" w:color="auto"/>
        <w:bottom w:val="single" w:sz="8" w:space="0" w:color="auto"/>
        <w:right w:val="single" w:sz="4" w:space="0" w:color="auto"/>
      </w:pBdr>
      <w:spacing w:beforeLines="1" w:afterLines="1"/>
      <w:textAlignment w:val="center"/>
    </w:pPr>
    <w:rPr>
      <w:rFonts w:ascii="Calibri" w:eastAsiaTheme="minorHAnsi" w:hAnsi="Calibri"/>
      <w:sz w:val="22"/>
      <w:szCs w:val="22"/>
    </w:rPr>
  </w:style>
  <w:style w:type="character" w:customStyle="1" w:styleId="TextocomentarioCar1">
    <w:name w:val="Texto comentario Car1"/>
    <w:basedOn w:val="Fuentedeprrafopredeter"/>
    <w:semiHidden/>
    <w:rsid w:val="006731F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6049">
      <w:bodyDiv w:val="1"/>
      <w:marLeft w:val="0"/>
      <w:marRight w:val="0"/>
      <w:marTop w:val="0"/>
      <w:marBottom w:val="0"/>
      <w:divBdr>
        <w:top w:val="none" w:sz="0" w:space="0" w:color="auto"/>
        <w:left w:val="none" w:sz="0" w:space="0" w:color="auto"/>
        <w:bottom w:val="none" w:sz="0" w:space="0" w:color="auto"/>
        <w:right w:val="none" w:sz="0" w:space="0" w:color="auto"/>
      </w:divBdr>
    </w:div>
    <w:div w:id="100881289">
      <w:bodyDiv w:val="1"/>
      <w:marLeft w:val="0"/>
      <w:marRight w:val="0"/>
      <w:marTop w:val="0"/>
      <w:marBottom w:val="0"/>
      <w:divBdr>
        <w:top w:val="none" w:sz="0" w:space="0" w:color="auto"/>
        <w:left w:val="none" w:sz="0" w:space="0" w:color="auto"/>
        <w:bottom w:val="none" w:sz="0" w:space="0" w:color="auto"/>
        <w:right w:val="none" w:sz="0" w:space="0" w:color="auto"/>
      </w:divBdr>
    </w:div>
    <w:div w:id="116291569">
      <w:bodyDiv w:val="1"/>
      <w:marLeft w:val="0"/>
      <w:marRight w:val="0"/>
      <w:marTop w:val="0"/>
      <w:marBottom w:val="0"/>
      <w:divBdr>
        <w:top w:val="none" w:sz="0" w:space="0" w:color="auto"/>
        <w:left w:val="none" w:sz="0" w:space="0" w:color="auto"/>
        <w:bottom w:val="none" w:sz="0" w:space="0" w:color="auto"/>
        <w:right w:val="none" w:sz="0" w:space="0" w:color="auto"/>
      </w:divBdr>
    </w:div>
    <w:div w:id="179393651">
      <w:bodyDiv w:val="1"/>
      <w:marLeft w:val="0"/>
      <w:marRight w:val="0"/>
      <w:marTop w:val="0"/>
      <w:marBottom w:val="0"/>
      <w:divBdr>
        <w:top w:val="none" w:sz="0" w:space="0" w:color="auto"/>
        <w:left w:val="none" w:sz="0" w:space="0" w:color="auto"/>
        <w:bottom w:val="none" w:sz="0" w:space="0" w:color="auto"/>
        <w:right w:val="none" w:sz="0" w:space="0" w:color="auto"/>
      </w:divBdr>
    </w:div>
    <w:div w:id="220992698">
      <w:bodyDiv w:val="1"/>
      <w:marLeft w:val="0"/>
      <w:marRight w:val="0"/>
      <w:marTop w:val="0"/>
      <w:marBottom w:val="0"/>
      <w:divBdr>
        <w:top w:val="none" w:sz="0" w:space="0" w:color="auto"/>
        <w:left w:val="none" w:sz="0" w:space="0" w:color="auto"/>
        <w:bottom w:val="none" w:sz="0" w:space="0" w:color="auto"/>
        <w:right w:val="none" w:sz="0" w:space="0" w:color="auto"/>
      </w:divBdr>
    </w:div>
    <w:div w:id="225801493">
      <w:bodyDiv w:val="1"/>
      <w:marLeft w:val="0"/>
      <w:marRight w:val="0"/>
      <w:marTop w:val="0"/>
      <w:marBottom w:val="0"/>
      <w:divBdr>
        <w:top w:val="none" w:sz="0" w:space="0" w:color="auto"/>
        <w:left w:val="none" w:sz="0" w:space="0" w:color="auto"/>
        <w:bottom w:val="none" w:sz="0" w:space="0" w:color="auto"/>
        <w:right w:val="none" w:sz="0" w:space="0" w:color="auto"/>
      </w:divBdr>
    </w:div>
    <w:div w:id="229272396">
      <w:bodyDiv w:val="1"/>
      <w:marLeft w:val="0"/>
      <w:marRight w:val="0"/>
      <w:marTop w:val="0"/>
      <w:marBottom w:val="0"/>
      <w:divBdr>
        <w:top w:val="none" w:sz="0" w:space="0" w:color="auto"/>
        <w:left w:val="none" w:sz="0" w:space="0" w:color="auto"/>
        <w:bottom w:val="none" w:sz="0" w:space="0" w:color="auto"/>
        <w:right w:val="none" w:sz="0" w:space="0" w:color="auto"/>
      </w:divBdr>
    </w:div>
    <w:div w:id="282155158">
      <w:bodyDiv w:val="1"/>
      <w:marLeft w:val="0"/>
      <w:marRight w:val="0"/>
      <w:marTop w:val="0"/>
      <w:marBottom w:val="0"/>
      <w:divBdr>
        <w:top w:val="none" w:sz="0" w:space="0" w:color="auto"/>
        <w:left w:val="none" w:sz="0" w:space="0" w:color="auto"/>
        <w:bottom w:val="none" w:sz="0" w:space="0" w:color="auto"/>
        <w:right w:val="none" w:sz="0" w:space="0" w:color="auto"/>
      </w:divBdr>
    </w:div>
    <w:div w:id="476534648">
      <w:bodyDiv w:val="1"/>
      <w:marLeft w:val="0"/>
      <w:marRight w:val="0"/>
      <w:marTop w:val="0"/>
      <w:marBottom w:val="0"/>
      <w:divBdr>
        <w:top w:val="none" w:sz="0" w:space="0" w:color="auto"/>
        <w:left w:val="none" w:sz="0" w:space="0" w:color="auto"/>
        <w:bottom w:val="none" w:sz="0" w:space="0" w:color="auto"/>
        <w:right w:val="none" w:sz="0" w:space="0" w:color="auto"/>
      </w:divBdr>
    </w:div>
    <w:div w:id="962156199">
      <w:bodyDiv w:val="1"/>
      <w:marLeft w:val="0"/>
      <w:marRight w:val="0"/>
      <w:marTop w:val="0"/>
      <w:marBottom w:val="0"/>
      <w:divBdr>
        <w:top w:val="none" w:sz="0" w:space="0" w:color="auto"/>
        <w:left w:val="none" w:sz="0" w:space="0" w:color="auto"/>
        <w:bottom w:val="none" w:sz="0" w:space="0" w:color="auto"/>
        <w:right w:val="none" w:sz="0" w:space="0" w:color="auto"/>
      </w:divBdr>
    </w:div>
    <w:div w:id="1044208213">
      <w:bodyDiv w:val="1"/>
      <w:marLeft w:val="0"/>
      <w:marRight w:val="0"/>
      <w:marTop w:val="0"/>
      <w:marBottom w:val="0"/>
      <w:divBdr>
        <w:top w:val="none" w:sz="0" w:space="0" w:color="auto"/>
        <w:left w:val="none" w:sz="0" w:space="0" w:color="auto"/>
        <w:bottom w:val="none" w:sz="0" w:space="0" w:color="auto"/>
        <w:right w:val="none" w:sz="0" w:space="0" w:color="auto"/>
      </w:divBdr>
    </w:div>
    <w:div w:id="1060132861">
      <w:bodyDiv w:val="1"/>
      <w:marLeft w:val="0"/>
      <w:marRight w:val="0"/>
      <w:marTop w:val="0"/>
      <w:marBottom w:val="0"/>
      <w:divBdr>
        <w:top w:val="none" w:sz="0" w:space="0" w:color="auto"/>
        <w:left w:val="none" w:sz="0" w:space="0" w:color="auto"/>
        <w:bottom w:val="none" w:sz="0" w:space="0" w:color="auto"/>
        <w:right w:val="none" w:sz="0" w:space="0" w:color="auto"/>
      </w:divBdr>
    </w:div>
    <w:div w:id="1108701220">
      <w:bodyDiv w:val="1"/>
      <w:marLeft w:val="0"/>
      <w:marRight w:val="0"/>
      <w:marTop w:val="0"/>
      <w:marBottom w:val="0"/>
      <w:divBdr>
        <w:top w:val="none" w:sz="0" w:space="0" w:color="auto"/>
        <w:left w:val="none" w:sz="0" w:space="0" w:color="auto"/>
        <w:bottom w:val="none" w:sz="0" w:space="0" w:color="auto"/>
        <w:right w:val="none" w:sz="0" w:space="0" w:color="auto"/>
      </w:divBdr>
    </w:div>
    <w:div w:id="1210724993">
      <w:bodyDiv w:val="1"/>
      <w:marLeft w:val="0"/>
      <w:marRight w:val="0"/>
      <w:marTop w:val="0"/>
      <w:marBottom w:val="0"/>
      <w:divBdr>
        <w:top w:val="none" w:sz="0" w:space="0" w:color="auto"/>
        <w:left w:val="none" w:sz="0" w:space="0" w:color="auto"/>
        <w:bottom w:val="none" w:sz="0" w:space="0" w:color="auto"/>
        <w:right w:val="none" w:sz="0" w:space="0" w:color="auto"/>
      </w:divBdr>
    </w:div>
    <w:div w:id="1392924823">
      <w:bodyDiv w:val="1"/>
      <w:marLeft w:val="0"/>
      <w:marRight w:val="0"/>
      <w:marTop w:val="0"/>
      <w:marBottom w:val="0"/>
      <w:divBdr>
        <w:top w:val="none" w:sz="0" w:space="0" w:color="auto"/>
        <w:left w:val="none" w:sz="0" w:space="0" w:color="auto"/>
        <w:bottom w:val="none" w:sz="0" w:space="0" w:color="auto"/>
        <w:right w:val="none" w:sz="0" w:space="0" w:color="auto"/>
      </w:divBdr>
    </w:div>
    <w:div w:id="1445147527">
      <w:bodyDiv w:val="1"/>
      <w:marLeft w:val="0"/>
      <w:marRight w:val="0"/>
      <w:marTop w:val="0"/>
      <w:marBottom w:val="0"/>
      <w:divBdr>
        <w:top w:val="none" w:sz="0" w:space="0" w:color="auto"/>
        <w:left w:val="none" w:sz="0" w:space="0" w:color="auto"/>
        <w:bottom w:val="none" w:sz="0" w:space="0" w:color="auto"/>
        <w:right w:val="none" w:sz="0" w:space="0" w:color="auto"/>
      </w:divBdr>
    </w:div>
    <w:div w:id="1467970058">
      <w:bodyDiv w:val="1"/>
      <w:marLeft w:val="0"/>
      <w:marRight w:val="0"/>
      <w:marTop w:val="0"/>
      <w:marBottom w:val="0"/>
      <w:divBdr>
        <w:top w:val="none" w:sz="0" w:space="0" w:color="auto"/>
        <w:left w:val="none" w:sz="0" w:space="0" w:color="auto"/>
        <w:bottom w:val="none" w:sz="0" w:space="0" w:color="auto"/>
        <w:right w:val="none" w:sz="0" w:space="0" w:color="auto"/>
      </w:divBdr>
    </w:div>
    <w:div w:id="1522816271">
      <w:bodyDiv w:val="1"/>
      <w:marLeft w:val="0"/>
      <w:marRight w:val="0"/>
      <w:marTop w:val="0"/>
      <w:marBottom w:val="0"/>
      <w:divBdr>
        <w:top w:val="none" w:sz="0" w:space="0" w:color="auto"/>
        <w:left w:val="none" w:sz="0" w:space="0" w:color="auto"/>
        <w:bottom w:val="none" w:sz="0" w:space="0" w:color="auto"/>
        <w:right w:val="none" w:sz="0" w:space="0" w:color="auto"/>
      </w:divBdr>
    </w:div>
    <w:div w:id="1523546962">
      <w:bodyDiv w:val="1"/>
      <w:marLeft w:val="0"/>
      <w:marRight w:val="0"/>
      <w:marTop w:val="0"/>
      <w:marBottom w:val="0"/>
      <w:divBdr>
        <w:top w:val="none" w:sz="0" w:space="0" w:color="auto"/>
        <w:left w:val="none" w:sz="0" w:space="0" w:color="auto"/>
        <w:bottom w:val="none" w:sz="0" w:space="0" w:color="auto"/>
        <w:right w:val="none" w:sz="0" w:space="0" w:color="auto"/>
      </w:divBdr>
    </w:div>
    <w:div w:id="1540823214">
      <w:bodyDiv w:val="1"/>
      <w:marLeft w:val="0"/>
      <w:marRight w:val="0"/>
      <w:marTop w:val="0"/>
      <w:marBottom w:val="0"/>
      <w:divBdr>
        <w:top w:val="none" w:sz="0" w:space="0" w:color="auto"/>
        <w:left w:val="none" w:sz="0" w:space="0" w:color="auto"/>
        <w:bottom w:val="none" w:sz="0" w:space="0" w:color="auto"/>
        <w:right w:val="none" w:sz="0" w:space="0" w:color="auto"/>
      </w:divBdr>
    </w:div>
    <w:div w:id="1638803890">
      <w:bodyDiv w:val="1"/>
      <w:marLeft w:val="0"/>
      <w:marRight w:val="0"/>
      <w:marTop w:val="0"/>
      <w:marBottom w:val="0"/>
      <w:divBdr>
        <w:top w:val="none" w:sz="0" w:space="0" w:color="auto"/>
        <w:left w:val="none" w:sz="0" w:space="0" w:color="auto"/>
        <w:bottom w:val="none" w:sz="0" w:space="0" w:color="auto"/>
        <w:right w:val="none" w:sz="0" w:space="0" w:color="auto"/>
      </w:divBdr>
    </w:div>
    <w:div w:id="1701970229">
      <w:bodyDiv w:val="1"/>
      <w:marLeft w:val="0"/>
      <w:marRight w:val="0"/>
      <w:marTop w:val="0"/>
      <w:marBottom w:val="0"/>
      <w:divBdr>
        <w:top w:val="none" w:sz="0" w:space="0" w:color="auto"/>
        <w:left w:val="none" w:sz="0" w:space="0" w:color="auto"/>
        <w:bottom w:val="none" w:sz="0" w:space="0" w:color="auto"/>
        <w:right w:val="none" w:sz="0" w:space="0" w:color="auto"/>
      </w:divBdr>
    </w:div>
    <w:div w:id="1730810114">
      <w:bodyDiv w:val="1"/>
      <w:marLeft w:val="0"/>
      <w:marRight w:val="0"/>
      <w:marTop w:val="0"/>
      <w:marBottom w:val="0"/>
      <w:divBdr>
        <w:top w:val="none" w:sz="0" w:space="0" w:color="auto"/>
        <w:left w:val="none" w:sz="0" w:space="0" w:color="auto"/>
        <w:bottom w:val="none" w:sz="0" w:space="0" w:color="auto"/>
        <w:right w:val="none" w:sz="0" w:space="0" w:color="auto"/>
      </w:divBdr>
    </w:div>
    <w:div w:id="1796749658">
      <w:bodyDiv w:val="1"/>
      <w:marLeft w:val="0"/>
      <w:marRight w:val="0"/>
      <w:marTop w:val="0"/>
      <w:marBottom w:val="0"/>
      <w:divBdr>
        <w:top w:val="none" w:sz="0" w:space="0" w:color="auto"/>
        <w:left w:val="none" w:sz="0" w:space="0" w:color="auto"/>
        <w:bottom w:val="none" w:sz="0" w:space="0" w:color="auto"/>
        <w:right w:val="none" w:sz="0" w:space="0" w:color="auto"/>
      </w:divBdr>
    </w:div>
    <w:div w:id="1882016235">
      <w:bodyDiv w:val="1"/>
      <w:marLeft w:val="0"/>
      <w:marRight w:val="0"/>
      <w:marTop w:val="0"/>
      <w:marBottom w:val="0"/>
      <w:divBdr>
        <w:top w:val="none" w:sz="0" w:space="0" w:color="auto"/>
        <w:left w:val="none" w:sz="0" w:space="0" w:color="auto"/>
        <w:bottom w:val="none" w:sz="0" w:space="0" w:color="auto"/>
        <w:right w:val="none" w:sz="0" w:space="0" w:color="auto"/>
      </w:divBdr>
    </w:div>
    <w:div w:id="1912426197">
      <w:bodyDiv w:val="1"/>
      <w:marLeft w:val="0"/>
      <w:marRight w:val="0"/>
      <w:marTop w:val="0"/>
      <w:marBottom w:val="0"/>
      <w:divBdr>
        <w:top w:val="none" w:sz="0" w:space="0" w:color="auto"/>
        <w:left w:val="none" w:sz="0" w:space="0" w:color="auto"/>
        <w:bottom w:val="none" w:sz="0" w:space="0" w:color="auto"/>
        <w:right w:val="none" w:sz="0" w:space="0" w:color="auto"/>
      </w:divBdr>
    </w:div>
    <w:div w:id="1946232691">
      <w:bodyDiv w:val="1"/>
      <w:marLeft w:val="0"/>
      <w:marRight w:val="0"/>
      <w:marTop w:val="0"/>
      <w:marBottom w:val="0"/>
      <w:divBdr>
        <w:top w:val="none" w:sz="0" w:space="0" w:color="auto"/>
        <w:left w:val="none" w:sz="0" w:space="0" w:color="auto"/>
        <w:bottom w:val="none" w:sz="0" w:space="0" w:color="auto"/>
        <w:right w:val="none" w:sz="0" w:space="0" w:color="auto"/>
      </w:divBdr>
    </w:div>
    <w:div w:id="2105413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5.xml"/><Relationship Id="rId26" Type="http://schemas.openxmlformats.org/officeDocument/2006/relationships/image" Target="media/image2.emf"/><Relationship Id="rId39" Type="http://schemas.openxmlformats.org/officeDocument/2006/relationships/hyperlink" Target="http://www.dnp.gov.co/Portals/0/archivos/documentos/DEE/Archivos_Economia/286.pdf" TargetMode="External"/><Relationship Id="rId21" Type="http://schemas.openxmlformats.org/officeDocument/2006/relationships/diagramData" Target="diagrams/data2.xml"/><Relationship Id="rId34" Type="http://schemas.openxmlformats.org/officeDocument/2006/relationships/chart" Target="charts/chart9.xm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package" Target="embeddings/Diapositiva_de_Microsoft_PowerPoint2.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Colors" Target="diagrams/colors2.xml"/><Relationship Id="rId32" Type="http://schemas.openxmlformats.org/officeDocument/2006/relationships/chart" Target="charts/chart7.xml"/><Relationship Id="rId37" Type="http://schemas.openxmlformats.org/officeDocument/2006/relationships/hyperlink" Target="http://www.sedbogota.edu.co/archivos/Educacion_inicial/2012/ANEXO%20%20Primera%20infancia.pdf" TargetMode="External"/><Relationship Id="rId40" Type="http://schemas.openxmlformats.org/officeDocument/2006/relationships/hyperlink" Target="http://unesdoc.unesco.org/images/0014/001417/141736s.pdf"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diagramQuickStyle" Target="diagrams/quickStyle2.xml"/><Relationship Id="rId28" Type="http://schemas.openxmlformats.org/officeDocument/2006/relationships/image" Target="media/image3.emf"/><Relationship Id="rId36" Type="http://schemas.openxmlformats.org/officeDocument/2006/relationships/chart" Target="charts/chart11.xml"/><Relationship Id="rId10" Type="http://schemas.openxmlformats.org/officeDocument/2006/relationships/diagramLayout" Target="diagrams/layout1.xml"/><Relationship Id="rId19" Type="http://schemas.openxmlformats.org/officeDocument/2006/relationships/chart" Target="charts/chart6.xml"/><Relationship Id="rId31" Type="http://schemas.openxmlformats.org/officeDocument/2006/relationships/package" Target="embeddings/Diapositiva_de_Microsoft_PowerPoint3.sldx"/><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diagramLayout" Target="diagrams/layout2.xml"/><Relationship Id="rId27" Type="http://schemas.openxmlformats.org/officeDocument/2006/relationships/package" Target="embeddings/Diapositiva_de_Microsoft_PowerPoint1.sldx"/><Relationship Id="rId30" Type="http://schemas.openxmlformats.org/officeDocument/2006/relationships/image" Target="media/image4.emf"/><Relationship Id="rId35" Type="http://schemas.openxmlformats.org/officeDocument/2006/relationships/chart" Target="charts/chart10.xm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chart" Target="charts/chart4.xml"/><Relationship Id="rId25" Type="http://schemas.microsoft.com/office/2007/relationships/diagramDrawing" Target="diagrams/drawing2.xml"/><Relationship Id="rId33" Type="http://schemas.openxmlformats.org/officeDocument/2006/relationships/chart" Target="charts/chart8.xml"/><Relationship Id="rId38" Type="http://schemas.openxmlformats.org/officeDocument/2006/relationships/hyperlink" Target="http://www.eluniversal.com.co/cartagena/educacion/estudiantes-colombianos-se-rajan-en-pruebas-pisa-10933" TargetMode="External"/><Relationship Id="rId46" Type="http://schemas.openxmlformats.org/officeDocument/2006/relationships/fontTable" Target="fontTable.xml"/><Relationship Id="rId20" Type="http://schemas.openxmlformats.org/officeDocument/2006/relationships/image" Target="media/image1.emf"/><Relationship Id="rId41" Type="http://schemas.openxmlformats.org/officeDocument/2006/relationships/hyperlink" Target="http://www.kienyke.com/kien-bloguea/una-gente-muy-rar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np.gov.co/Portals/0/archivos/documentos/DEE/Archivos_Economia/286.pdf" TargetMode="External"/><Relationship Id="rId2" Type="http://schemas.openxmlformats.org/officeDocument/2006/relationships/hyperlink" Target="http://www.dnp.gov.co/Portals/0/archivos/documentos/DEE/Archivos_Economia/286.pdf" TargetMode="External"/><Relationship Id="rId1" Type="http://schemas.openxmlformats.org/officeDocument/2006/relationships/hyperlink" Target="http://unesdoc.unesco.org/images/0014/001417/141736s.pdf" TargetMode="External"/><Relationship Id="rId5" Type="http://schemas.openxmlformats.org/officeDocument/2006/relationships/hyperlink" Target="http://www.eluniversal.com.co/cartagena/educacion/estudiantes-colombianos-se-rajan-en-pruebas-pisa-10933" TargetMode="External"/><Relationship Id="rId4" Type="http://schemas.openxmlformats.org/officeDocument/2006/relationships/hyperlink" Target="http://www.alcaldiabogota.gov.co/sisjur/normas/Norma1.jsp?i=2085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Bogota\2011\Saber%2011\CLASIFICACION%20BOGOTA%202008%20A%20201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mlievano\Escritorio\final.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Laborales%20May7\Sec%20Educacion%20Bta\SS%20Acceso%20y%20Permanencia\Planeaci&#243;n%20y%20Financiera%20DBE\Jornada%2017%20de%20Julio\Graficas%20cobertura%20y%20presupues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mila%202\Documents\secretaria%20de%20educacion%20bogota\gr&#225;ficas%20finales%2031%20de%20agost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mila%202\Documents\secretaria%20de%20educacion%20bogota\gr&#225;ficas%20finales%2031%20de%20agosto.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mila\Documents\secretaria%20de%20educacion%20bogota\PRUEBAS%20SABER\BOGOTA%20INGLES%202011%20PUBLICO%20PRIVADO.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amila%202\Documents\secretaria%20de%20educacion%20bogota\gr&#225;ficas%20finales%2031%20de%20agosto.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Excel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pgomez\Escritorio\Datos%20para%20el%20dise&#241;o%20de%20la%20gr&#225;fica%20Metas%20Movilidad%20Escolar%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Hoja1!$C$67</c:f>
              <c:strCache>
                <c:ptCount val="1"/>
                <c:pt idx="0">
                  <c:v>SUPERIORES</c:v>
                </c:pt>
              </c:strCache>
            </c:strRef>
          </c:tx>
          <c:invertIfNegative val="0"/>
          <c:dLbls>
            <c:txPr>
              <a:bodyPr/>
              <a:lstStyle/>
              <a:p>
                <a:pPr>
                  <a:defRPr lang="es-ES" sz="1000"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0"/>
          </c:dLbls>
          <c:cat>
            <c:multiLvlStrRef>
              <c:f>Hoja1!$A$68:$B$75</c:f>
              <c:multiLvlStrCache>
                <c:ptCount val="8"/>
                <c:lvl>
                  <c:pt idx="0">
                    <c:v>2008</c:v>
                  </c:pt>
                  <c:pt idx="1">
                    <c:v>2009</c:v>
                  </c:pt>
                  <c:pt idx="2">
                    <c:v>2010</c:v>
                  </c:pt>
                  <c:pt idx="3">
                    <c:v>2011</c:v>
                  </c:pt>
                  <c:pt idx="4">
                    <c:v>2008</c:v>
                  </c:pt>
                  <c:pt idx="5">
                    <c:v>2009</c:v>
                  </c:pt>
                  <c:pt idx="6">
                    <c:v>2010</c:v>
                  </c:pt>
                  <c:pt idx="7">
                    <c:v>2011</c:v>
                  </c:pt>
                </c:lvl>
                <c:lvl>
                  <c:pt idx="0">
                    <c:v>PRIVADOS </c:v>
                  </c:pt>
                  <c:pt idx="4">
                    <c:v>OFICIAL DISTRITAL</c:v>
                  </c:pt>
                </c:lvl>
              </c:multiLvlStrCache>
            </c:multiLvlStrRef>
          </c:cat>
          <c:val>
            <c:numRef>
              <c:f>Hoja1!$C$68:$C$75</c:f>
              <c:numCache>
                <c:formatCode>0.0%</c:formatCode>
                <c:ptCount val="8"/>
                <c:pt idx="0">
                  <c:v>0.61181923522595605</c:v>
                </c:pt>
                <c:pt idx="1">
                  <c:v>0.67500000000000371</c:v>
                </c:pt>
                <c:pt idx="2">
                  <c:v>0.70205479452054942</c:v>
                </c:pt>
                <c:pt idx="3">
                  <c:v>0.78953107960741498</c:v>
                </c:pt>
                <c:pt idx="4">
                  <c:v>0.18110000000000001</c:v>
                </c:pt>
                <c:pt idx="5">
                  <c:v>0.33273056057866335</c:v>
                </c:pt>
                <c:pt idx="6">
                  <c:v>0.39586919104991752</c:v>
                </c:pt>
                <c:pt idx="7">
                  <c:v>0.57142857142857573</c:v>
                </c:pt>
              </c:numCache>
            </c:numRef>
          </c:val>
        </c:ser>
        <c:ser>
          <c:idx val="1"/>
          <c:order val="1"/>
          <c:tx>
            <c:strRef>
              <c:f>Hoja1!$D$67</c:f>
              <c:strCache>
                <c:ptCount val="1"/>
                <c:pt idx="0">
                  <c:v>MEDIO</c:v>
                </c:pt>
              </c:strCache>
            </c:strRef>
          </c:tx>
          <c:invertIfNegative val="0"/>
          <c:dLbls>
            <c:dLbl>
              <c:idx val="7"/>
              <c:layout>
                <c:manualLayout>
                  <c:x val="2.6507620941020518E-2"/>
                  <c:y val="8.0080080080080236E-3"/>
                </c:manualLayout>
              </c:layout>
              <c:showLegendKey val="0"/>
              <c:showVal val="1"/>
              <c:showCatName val="0"/>
              <c:showSerName val="0"/>
              <c:showPercent val="0"/>
              <c:showBubbleSize val="0"/>
            </c:dLbl>
            <c:txPr>
              <a:bodyPr/>
              <a:lstStyle/>
              <a:p>
                <a:pPr>
                  <a:defRPr lang="es-ES" sz="1000"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0"/>
          </c:dLbls>
          <c:cat>
            <c:multiLvlStrRef>
              <c:f>Hoja1!$A$68:$B$75</c:f>
              <c:multiLvlStrCache>
                <c:ptCount val="8"/>
                <c:lvl>
                  <c:pt idx="0">
                    <c:v>2008</c:v>
                  </c:pt>
                  <c:pt idx="1">
                    <c:v>2009</c:v>
                  </c:pt>
                  <c:pt idx="2">
                    <c:v>2010</c:v>
                  </c:pt>
                  <c:pt idx="3">
                    <c:v>2011</c:v>
                  </c:pt>
                  <c:pt idx="4">
                    <c:v>2008</c:v>
                  </c:pt>
                  <c:pt idx="5">
                    <c:v>2009</c:v>
                  </c:pt>
                  <c:pt idx="6">
                    <c:v>2010</c:v>
                  </c:pt>
                  <c:pt idx="7">
                    <c:v>2011</c:v>
                  </c:pt>
                </c:lvl>
                <c:lvl>
                  <c:pt idx="0">
                    <c:v>PRIVADOS </c:v>
                  </c:pt>
                  <c:pt idx="4">
                    <c:v>OFICIAL DISTRITAL</c:v>
                  </c:pt>
                </c:lvl>
              </c:multiLvlStrCache>
            </c:multiLvlStrRef>
          </c:cat>
          <c:val>
            <c:numRef>
              <c:f>Hoja1!$D$68:$D$75</c:f>
              <c:numCache>
                <c:formatCode>0.0%</c:formatCode>
                <c:ptCount val="8"/>
                <c:pt idx="0">
                  <c:v>0.23174971031286318</c:v>
                </c:pt>
                <c:pt idx="1">
                  <c:v>0.21071428571428721</c:v>
                </c:pt>
                <c:pt idx="2">
                  <c:v>0.15753424657534429</c:v>
                </c:pt>
                <c:pt idx="3">
                  <c:v>0.15485278080698012</c:v>
                </c:pt>
                <c:pt idx="4">
                  <c:v>0.53617810760668005</c:v>
                </c:pt>
                <c:pt idx="5">
                  <c:v>0.46292947558770536</c:v>
                </c:pt>
                <c:pt idx="6">
                  <c:v>0.41996557659208422</c:v>
                </c:pt>
                <c:pt idx="7">
                  <c:v>0.34975369458128103</c:v>
                </c:pt>
              </c:numCache>
            </c:numRef>
          </c:val>
        </c:ser>
        <c:ser>
          <c:idx val="2"/>
          <c:order val="2"/>
          <c:tx>
            <c:strRef>
              <c:f>Hoja1!$E$67</c:f>
              <c:strCache>
                <c:ptCount val="1"/>
                <c:pt idx="0">
                  <c:v>INFERIORES</c:v>
                </c:pt>
              </c:strCache>
            </c:strRef>
          </c:tx>
          <c:invertIfNegative val="0"/>
          <c:dLbls>
            <c:dLbl>
              <c:idx val="2"/>
              <c:layout>
                <c:manualLayout>
                  <c:x val="2.2222222222222414E-2"/>
                  <c:y val="2.7777777777778144E-2"/>
                </c:manualLayout>
              </c:layout>
              <c:showLegendKey val="0"/>
              <c:showVal val="1"/>
              <c:showCatName val="0"/>
              <c:showSerName val="0"/>
              <c:showPercent val="0"/>
              <c:showBubbleSize val="0"/>
            </c:dLbl>
            <c:dLbl>
              <c:idx val="7"/>
              <c:layout>
                <c:manualLayout>
                  <c:x val="2.9158383035122595E-2"/>
                  <c:y val="-2.402402402402401E-2"/>
                </c:manualLayout>
              </c:layout>
              <c:showLegendKey val="0"/>
              <c:showVal val="1"/>
              <c:showCatName val="0"/>
              <c:showSerName val="0"/>
              <c:showPercent val="0"/>
              <c:showBubbleSize val="0"/>
            </c:dLbl>
            <c:txPr>
              <a:bodyPr/>
              <a:lstStyle/>
              <a:p>
                <a:pPr>
                  <a:defRPr lang="es-ES" sz="1000"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0"/>
          </c:dLbls>
          <c:cat>
            <c:multiLvlStrRef>
              <c:f>Hoja1!$A$68:$B$75</c:f>
              <c:multiLvlStrCache>
                <c:ptCount val="8"/>
                <c:lvl>
                  <c:pt idx="0">
                    <c:v>2008</c:v>
                  </c:pt>
                  <c:pt idx="1">
                    <c:v>2009</c:v>
                  </c:pt>
                  <c:pt idx="2">
                    <c:v>2010</c:v>
                  </c:pt>
                  <c:pt idx="3">
                    <c:v>2011</c:v>
                  </c:pt>
                  <c:pt idx="4">
                    <c:v>2008</c:v>
                  </c:pt>
                  <c:pt idx="5">
                    <c:v>2009</c:v>
                  </c:pt>
                  <c:pt idx="6">
                    <c:v>2010</c:v>
                  </c:pt>
                  <c:pt idx="7">
                    <c:v>2011</c:v>
                  </c:pt>
                </c:lvl>
                <c:lvl>
                  <c:pt idx="0">
                    <c:v>PRIVADOS </c:v>
                  </c:pt>
                  <c:pt idx="4">
                    <c:v>OFICIAL DISTRITAL</c:v>
                  </c:pt>
                </c:lvl>
              </c:multiLvlStrCache>
            </c:multiLvlStrRef>
          </c:cat>
          <c:val>
            <c:numRef>
              <c:f>Hoja1!$E$68:$E$75</c:f>
              <c:numCache>
                <c:formatCode>0.0%</c:formatCode>
                <c:ptCount val="8"/>
                <c:pt idx="0">
                  <c:v>0.15643105446118322</c:v>
                </c:pt>
                <c:pt idx="1">
                  <c:v>0.1142857142857141</c:v>
                </c:pt>
                <c:pt idx="2">
                  <c:v>0.14041095890411001</c:v>
                </c:pt>
                <c:pt idx="3">
                  <c:v>5.561613958560533E-2</c:v>
                </c:pt>
                <c:pt idx="4">
                  <c:v>0.28200371057513879</c:v>
                </c:pt>
                <c:pt idx="5">
                  <c:v>0.20433996383363501</c:v>
                </c:pt>
                <c:pt idx="6">
                  <c:v>0.18416523235800311</c:v>
                </c:pt>
                <c:pt idx="7">
                  <c:v>7.881773399014827E-2</c:v>
                </c:pt>
              </c:numCache>
            </c:numRef>
          </c:val>
        </c:ser>
        <c:dLbls>
          <c:showLegendKey val="0"/>
          <c:showVal val="0"/>
          <c:showCatName val="0"/>
          <c:showSerName val="0"/>
          <c:showPercent val="0"/>
          <c:showBubbleSize val="0"/>
        </c:dLbls>
        <c:gapWidth val="114"/>
        <c:gapDepth val="0"/>
        <c:shape val="box"/>
        <c:axId val="151425024"/>
        <c:axId val="264447104"/>
        <c:axId val="0"/>
      </c:bar3DChart>
      <c:catAx>
        <c:axId val="151425024"/>
        <c:scaling>
          <c:orientation val="minMax"/>
        </c:scaling>
        <c:delete val="0"/>
        <c:axPos val="b"/>
        <c:numFmt formatCode="General" sourceLinked="1"/>
        <c:majorTickMark val="out"/>
        <c:minorTickMark val="none"/>
        <c:tickLblPos val="nextTo"/>
        <c:txPr>
          <a:bodyPr rot="0" vert="horz"/>
          <a:lstStyle/>
          <a:p>
            <a:pPr>
              <a:defRPr lang="es-ES" sz="800" b="0" i="0" u="none" strike="noStrike" baseline="0">
                <a:solidFill>
                  <a:srgbClr val="000000"/>
                </a:solidFill>
                <a:latin typeface="Calibri"/>
                <a:ea typeface="Calibri"/>
                <a:cs typeface="Calibri"/>
              </a:defRPr>
            </a:pPr>
            <a:endParaRPr lang="es-ES"/>
          </a:p>
        </c:txPr>
        <c:crossAx val="264447104"/>
        <c:crosses val="autoZero"/>
        <c:auto val="1"/>
        <c:lblAlgn val="ctr"/>
        <c:lblOffset val="100"/>
        <c:noMultiLvlLbl val="0"/>
      </c:catAx>
      <c:valAx>
        <c:axId val="264447104"/>
        <c:scaling>
          <c:orientation val="minMax"/>
        </c:scaling>
        <c:delete val="0"/>
        <c:axPos val="l"/>
        <c:majorGridlines/>
        <c:numFmt formatCode="0%" sourceLinked="0"/>
        <c:majorTickMark val="out"/>
        <c:minorTickMark val="none"/>
        <c:tickLblPos val="nextTo"/>
        <c:txPr>
          <a:bodyPr rot="0" vert="horz"/>
          <a:lstStyle/>
          <a:p>
            <a:pPr>
              <a:defRPr lang="es-ES" sz="800" b="0" i="0" u="none" strike="noStrike" baseline="0">
                <a:solidFill>
                  <a:srgbClr val="000000"/>
                </a:solidFill>
                <a:latin typeface="Calibri"/>
                <a:ea typeface="Calibri"/>
                <a:cs typeface="Calibri"/>
              </a:defRPr>
            </a:pPr>
            <a:endParaRPr lang="es-ES"/>
          </a:p>
        </c:txPr>
        <c:crossAx val="151425024"/>
        <c:crosses val="autoZero"/>
        <c:crossBetween val="between"/>
      </c:valAx>
      <c:spPr>
        <a:noFill/>
        <a:ln w="25400">
          <a:noFill/>
        </a:ln>
      </c:spPr>
    </c:plotArea>
    <c:legend>
      <c:legendPos val="b"/>
      <c:overlay val="0"/>
      <c:txPr>
        <a:bodyPr/>
        <a:lstStyle/>
        <a:p>
          <a:pPr>
            <a:defRPr lang="es-ES" sz="920" b="0" i="0" u="none" strike="noStrike" baseline="0">
              <a:solidFill>
                <a:srgbClr val="000000"/>
              </a:solidFill>
              <a:latin typeface="Calibri"/>
              <a:ea typeface="Calibri"/>
              <a:cs typeface="Calibri"/>
            </a:defRPr>
          </a:pPr>
          <a:endParaRPr lang="es-E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3230326636216741"/>
          <c:y val="8.9943012690877525E-2"/>
          <c:w val="0.82228860182512753"/>
          <c:h val="0.67729485005363277"/>
        </c:manualLayout>
      </c:layout>
      <c:areaChart>
        <c:grouping val="stacked"/>
        <c:varyColors val="0"/>
        <c:ser>
          <c:idx val="0"/>
          <c:order val="0"/>
          <c:tx>
            <c:strRef>
              <c:f>Hoja1!$F$26</c:f>
              <c:strCache>
                <c:ptCount val="1"/>
                <c:pt idx="0">
                  <c:v>Comida caliente </c:v>
                </c:pt>
              </c:strCache>
            </c:strRef>
          </c:tx>
          <c:dLbls>
            <c:dLbl>
              <c:idx val="0"/>
              <c:layout>
                <c:manualLayout>
                  <c:x val="4.2717827277700439E-2"/>
                  <c:y val="0"/>
                </c:manualLayout>
              </c:layout>
              <c:showLegendKey val="0"/>
              <c:showVal val="1"/>
              <c:showCatName val="0"/>
              <c:showSerName val="0"/>
              <c:showPercent val="0"/>
              <c:showBubbleSize val="0"/>
            </c:dLbl>
            <c:dLbl>
              <c:idx val="1"/>
              <c:layout>
                <c:manualLayout>
                  <c:x val="-6.6644269993884455E-3"/>
                  <c:y val="7.1574632522498757E-3"/>
                </c:manualLayout>
              </c:layout>
              <c:showLegendKey val="0"/>
              <c:showVal val="1"/>
              <c:showCatName val="0"/>
              <c:showSerName val="0"/>
              <c:showPercent val="0"/>
              <c:showBubbleSize val="0"/>
            </c:dLbl>
            <c:dLbl>
              <c:idx val="2"/>
              <c:layout>
                <c:manualLayout>
                  <c:x val="-9.3301977991438328E-3"/>
                  <c:y val="0"/>
                </c:manualLayout>
              </c:layout>
              <c:showLegendKey val="0"/>
              <c:showVal val="1"/>
              <c:showCatName val="0"/>
              <c:showSerName val="0"/>
              <c:showPercent val="0"/>
              <c:showBubbleSize val="0"/>
            </c:dLbl>
            <c:dLbl>
              <c:idx val="3"/>
              <c:layout>
                <c:manualLayout>
                  <c:x val="-1.1995968598899204E-2"/>
                  <c:y val="0"/>
                </c:manualLayout>
              </c:layout>
              <c:showLegendKey val="0"/>
              <c:showVal val="1"/>
              <c:showCatName val="0"/>
              <c:showSerName val="0"/>
              <c:showPercent val="0"/>
              <c:showBubbleSize val="0"/>
            </c:dLbl>
            <c:dLbl>
              <c:idx val="4"/>
              <c:layout>
                <c:manualLayout>
                  <c:x val="-9.3301977991438328E-3"/>
                  <c:y val="-1.6700747588583021E-2"/>
                </c:manualLayout>
              </c:layout>
              <c:showLegendKey val="0"/>
              <c:showVal val="1"/>
              <c:showCatName val="0"/>
              <c:showSerName val="0"/>
              <c:showPercent val="0"/>
              <c:showBubbleSize val="0"/>
            </c:dLbl>
            <c:txPr>
              <a:bodyPr/>
              <a:lstStyle/>
              <a:p>
                <a:pPr>
                  <a:defRPr lang="es-CO" sz="700"/>
                </a:pPr>
                <a:endParaRPr lang="es-ES"/>
              </a:p>
            </c:txPr>
            <c:showLegendKey val="0"/>
            <c:showVal val="1"/>
            <c:showCatName val="0"/>
            <c:showSerName val="0"/>
            <c:showPercent val="0"/>
            <c:showBubbleSize val="0"/>
            <c:showLeaderLines val="0"/>
          </c:dLbls>
          <c:cat>
            <c:numRef>
              <c:f>Hoja1!$G$24:$K$24</c:f>
              <c:numCache>
                <c:formatCode>General</c:formatCode>
                <c:ptCount val="5"/>
                <c:pt idx="0">
                  <c:v>2012</c:v>
                </c:pt>
                <c:pt idx="1">
                  <c:v>2013</c:v>
                </c:pt>
                <c:pt idx="2">
                  <c:v>2014</c:v>
                </c:pt>
                <c:pt idx="3">
                  <c:v>2015</c:v>
                </c:pt>
                <c:pt idx="4">
                  <c:v>2016</c:v>
                </c:pt>
              </c:numCache>
            </c:numRef>
          </c:cat>
          <c:val>
            <c:numRef>
              <c:f>Hoja1!$M$23:$Q$23</c:f>
              <c:numCache>
                <c:formatCode>0</c:formatCode>
                <c:ptCount val="5"/>
                <c:pt idx="0">
                  <c:v>125000</c:v>
                </c:pt>
                <c:pt idx="1">
                  <c:v>148756.65597831481</c:v>
                </c:pt>
                <c:pt idx="2">
                  <c:v>182400.86608707081</c:v>
                </c:pt>
                <c:pt idx="3">
                  <c:v>260600</c:v>
                </c:pt>
                <c:pt idx="4">
                  <c:v>260600</c:v>
                </c:pt>
              </c:numCache>
            </c:numRef>
          </c:val>
        </c:ser>
        <c:ser>
          <c:idx val="1"/>
          <c:order val="1"/>
          <c:tx>
            <c:strRef>
              <c:f>Hoja1!$F$25</c:f>
              <c:strCache>
                <c:ptCount val="1"/>
                <c:pt idx="0">
                  <c:v>Refrigerios Escolares </c:v>
                </c:pt>
              </c:strCache>
            </c:strRef>
          </c:tx>
          <c:dPt>
            <c:idx val="4"/>
            <c:bubble3D val="0"/>
            <c:spPr>
              <a:effectLst>
                <a:outerShdw blurRad="40000" dist="23000" dir="5400000" rotWithShape="0">
                  <a:schemeClr val="accent1">
                    <a:alpha val="35000"/>
                  </a:schemeClr>
                </a:outerShdw>
              </a:effectLst>
            </c:spPr>
          </c:dPt>
          <c:dLbls>
            <c:dLbl>
              <c:idx val="0"/>
              <c:layout>
                <c:manualLayout>
                  <c:x val="4.4175028019664546E-2"/>
                  <c:y val="0"/>
                </c:manualLayout>
              </c:layout>
              <c:showLegendKey val="0"/>
              <c:showVal val="1"/>
              <c:showCatName val="0"/>
              <c:showSerName val="0"/>
              <c:showPercent val="0"/>
              <c:showBubbleSize val="0"/>
            </c:dLbl>
            <c:dLbl>
              <c:idx val="2"/>
              <c:layout>
                <c:manualLayout>
                  <c:x val="-3.9986561996330685E-3"/>
                  <c:y val="-1.1929105420416527E-2"/>
                </c:manualLayout>
              </c:layout>
              <c:showLegendKey val="0"/>
              <c:showVal val="1"/>
              <c:showCatName val="0"/>
              <c:showSerName val="0"/>
              <c:showPercent val="0"/>
              <c:showBubbleSize val="0"/>
            </c:dLbl>
            <c:dLbl>
              <c:idx val="3"/>
              <c:layout>
                <c:manualLayout>
                  <c:x val="-7.9973123992660503E-3"/>
                  <c:y val="4.3739547925204821E-17"/>
                </c:manualLayout>
              </c:layout>
              <c:showLegendKey val="0"/>
              <c:showVal val="1"/>
              <c:showCatName val="0"/>
              <c:showSerName val="0"/>
              <c:showPercent val="0"/>
              <c:showBubbleSize val="0"/>
            </c:dLbl>
            <c:dLbl>
              <c:idx val="4"/>
              <c:layout>
                <c:manualLayout>
                  <c:x val="-9.3301977991437912E-3"/>
                  <c:y val="0"/>
                </c:manualLayout>
              </c:layout>
              <c:showLegendKey val="0"/>
              <c:showVal val="1"/>
              <c:showCatName val="0"/>
              <c:showSerName val="0"/>
              <c:showPercent val="0"/>
              <c:showBubbleSize val="0"/>
            </c:dLbl>
            <c:txPr>
              <a:bodyPr/>
              <a:lstStyle/>
              <a:p>
                <a:pPr>
                  <a:defRPr lang="es-CO" sz="700"/>
                </a:pPr>
                <a:endParaRPr lang="es-ES"/>
              </a:p>
            </c:txPr>
            <c:showLegendKey val="0"/>
            <c:showVal val="1"/>
            <c:showCatName val="0"/>
            <c:showSerName val="0"/>
            <c:showPercent val="0"/>
            <c:showBubbleSize val="0"/>
            <c:showLeaderLines val="0"/>
          </c:dLbls>
          <c:cat>
            <c:numRef>
              <c:f>Hoja1!$G$24:$K$24</c:f>
              <c:numCache>
                <c:formatCode>General</c:formatCode>
                <c:ptCount val="5"/>
                <c:pt idx="0">
                  <c:v>2012</c:v>
                </c:pt>
                <c:pt idx="1">
                  <c:v>2013</c:v>
                </c:pt>
                <c:pt idx="2">
                  <c:v>2014</c:v>
                </c:pt>
                <c:pt idx="3">
                  <c:v>2015</c:v>
                </c:pt>
                <c:pt idx="4">
                  <c:v>2016</c:v>
                </c:pt>
              </c:numCache>
            </c:numRef>
          </c:cat>
          <c:val>
            <c:numRef>
              <c:f>Hoja1!$M$24:$Q$24</c:f>
              <c:numCache>
                <c:formatCode>General</c:formatCode>
                <c:ptCount val="5"/>
                <c:pt idx="0">
                  <c:v>515319</c:v>
                </c:pt>
                <c:pt idx="1">
                  <c:v>531000</c:v>
                </c:pt>
                <c:pt idx="2">
                  <c:v>565500</c:v>
                </c:pt>
                <c:pt idx="3">
                  <c:v>629400</c:v>
                </c:pt>
                <c:pt idx="4">
                  <c:v>629400</c:v>
                </c:pt>
              </c:numCache>
            </c:numRef>
          </c:val>
        </c:ser>
        <c:dLbls>
          <c:showLegendKey val="0"/>
          <c:showVal val="0"/>
          <c:showCatName val="0"/>
          <c:showSerName val="0"/>
          <c:showPercent val="0"/>
          <c:showBubbleSize val="0"/>
        </c:dLbls>
        <c:axId val="251964416"/>
        <c:axId val="252781696"/>
      </c:areaChart>
      <c:catAx>
        <c:axId val="251964416"/>
        <c:scaling>
          <c:orientation val="minMax"/>
        </c:scaling>
        <c:delete val="0"/>
        <c:axPos val="b"/>
        <c:numFmt formatCode="General" sourceLinked="1"/>
        <c:majorTickMark val="out"/>
        <c:minorTickMark val="none"/>
        <c:tickLblPos val="nextTo"/>
        <c:txPr>
          <a:bodyPr/>
          <a:lstStyle/>
          <a:p>
            <a:pPr>
              <a:defRPr lang="es-CO" sz="700"/>
            </a:pPr>
            <a:endParaRPr lang="es-ES"/>
          </a:p>
        </c:txPr>
        <c:crossAx val="252781696"/>
        <c:crosses val="autoZero"/>
        <c:auto val="1"/>
        <c:lblAlgn val="ctr"/>
        <c:lblOffset val="100"/>
        <c:noMultiLvlLbl val="0"/>
      </c:catAx>
      <c:valAx>
        <c:axId val="252781696"/>
        <c:scaling>
          <c:orientation val="minMax"/>
        </c:scaling>
        <c:delete val="0"/>
        <c:axPos val="l"/>
        <c:majorGridlines/>
        <c:numFmt formatCode="0" sourceLinked="1"/>
        <c:majorTickMark val="out"/>
        <c:minorTickMark val="none"/>
        <c:tickLblPos val="nextTo"/>
        <c:txPr>
          <a:bodyPr/>
          <a:lstStyle/>
          <a:p>
            <a:pPr>
              <a:defRPr lang="es-CO" sz="700"/>
            </a:pPr>
            <a:endParaRPr lang="es-ES"/>
          </a:p>
        </c:txPr>
        <c:crossAx val="251964416"/>
        <c:crosses val="autoZero"/>
        <c:crossBetween val="midCat"/>
      </c:valAx>
    </c:plotArea>
    <c:legend>
      <c:legendPos val="b"/>
      <c:layout>
        <c:manualLayout>
          <c:xMode val="edge"/>
          <c:yMode val="edge"/>
          <c:x val="0.18471940747030643"/>
          <c:y val="0.86467625740709686"/>
          <c:w val="0.64773798980829467"/>
          <c:h val="6.3911378066399877E-2"/>
        </c:manualLayout>
      </c:layout>
      <c:overlay val="0"/>
      <c:txPr>
        <a:bodyPr/>
        <a:lstStyle/>
        <a:p>
          <a:pPr>
            <a:defRPr lang="es-CO" sz="700"/>
          </a:pPr>
          <a:endParaRPr lang="es-ES"/>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Hoja3!$B$8</c:f>
              <c:strCache>
                <c:ptCount val="1"/>
                <c:pt idx="0">
                  <c:v>Matrícula</c:v>
                </c:pt>
              </c:strCache>
            </c:strRef>
          </c:tx>
          <c:invertIfNegative val="0"/>
          <c:dLbls>
            <c:txPr>
              <a:bodyPr/>
              <a:lstStyle/>
              <a:p>
                <a:pPr>
                  <a:defRPr sz="800" b="1"/>
                </a:pPr>
                <a:endParaRPr lang="es-ES"/>
              </a:p>
            </c:txPr>
            <c:showLegendKey val="0"/>
            <c:showVal val="1"/>
            <c:showCatName val="0"/>
            <c:showSerName val="0"/>
            <c:showPercent val="0"/>
            <c:showBubbleSize val="0"/>
            <c:showLeaderLines val="0"/>
          </c:dLbls>
          <c:cat>
            <c:numRef>
              <c:f>Hoja3!$C$7:$G$7</c:f>
              <c:numCache>
                <c:formatCode>General</c:formatCode>
                <c:ptCount val="5"/>
                <c:pt idx="0">
                  <c:v>2012</c:v>
                </c:pt>
                <c:pt idx="1">
                  <c:v>2013</c:v>
                </c:pt>
                <c:pt idx="2">
                  <c:v>2014</c:v>
                </c:pt>
                <c:pt idx="3">
                  <c:v>2015</c:v>
                </c:pt>
                <c:pt idx="4">
                  <c:v>2016</c:v>
                </c:pt>
              </c:numCache>
            </c:numRef>
          </c:cat>
          <c:val>
            <c:numRef>
              <c:f>Hoja3!$C$8:$G$8</c:f>
              <c:numCache>
                <c:formatCode>#,##0</c:formatCode>
                <c:ptCount val="5"/>
                <c:pt idx="0">
                  <c:v>938671</c:v>
                </c:pt>
                <c:pt idx="1">
                  <c:v>933195</c:v>
                </c:pt>
                <c:pt idx="2">
                  <c:v>927815</c:v>
                </c:pt>
                <c:pt idx="3">
                  <c:v>957637</c:v>
                </c:pt>
                <c:pt idx="4">
                  <c:v>1000000</c:v>
                </c:pt>
              </c:numCache>
            </c:numRef>
          </c:val>
        </c:ser>
        <c:dLbls>
          <c:showLegendKey val="0"/>
          <c:showVal val="0"/>
          <c:showCatName val="0"/>
          <c:showSerName val="0"/>
          <c:showPercent val="0"/>
          <c:showBubbleSize val="0"/>
        </c:dLbls>
        <c:gapWidth val="81"/>
        <c:overlap val="36"/>
        <c:axId val="251955712"/>
        <c:axId val="252783424"/>
      </c:barChart>
      <c:lineChart>
        <c:grouping val="standard"/>
        <c:varyColors val="0"/>
        <c:ser>
          <c:idx val="1"/>
          <c:order val="1"/>
          <c:tx>
            <c:strRef>
              <c:f>Hoja3!$B$9</c:f>
              <c:strCache>
                <c:ptCount val="1"/>
                <c:pt idx="0">
                  <c:v>Alimentación Escolar</c:v>
                </c:pt>
              </c:strCache>
            </c:strRef>
          </c:tx>
          <c:spPr>
            <a:ln w="44450"/>
          </c:spPr>
          <c:dLbls>
            <c:dLbl>
              <c:idx val="0"/>
              <c:layout>
                <c:manualLayout>
                  <c:x val="-6.9444444444444531E-2"/>
                  <c:y val="6.9444444444444531E-2"/>
                </c:manualLayout>
              </c:layout>
              <c:showLegendKey val="0"/>
              <c:showVal val="1"/>
              <c:showCatName val="0"/>
              <c:showSerName val="0"/>
              <c:showPercent val="0"/>
              <c:showBubbleSize val="0"/>
            </c:dLbl>
            <c:dLbl>
              <c:idx val="1"/>
              <c:layout>
                <c:manualLayout>
                  <c:x val="-7.2222222222222396E-2"/>
                  <c:y val="6.9444444444444531E-2"/>
                </c:manualLayout>
              </c:layout>
              <c:showLegendKey val="0"/>
              <c:showVal val="1"/>
              <c:showCatName val="0"/>
              <c:showSerName val="0"/>
              <c:showPercent val="0"/>
              <c:showBubbleSize val="0"/>
            </c:dLbl>
            <c:dLbl>
              <c:idx val="2"/>
              <c:layout>
                <c:manualLayout>
                  <c:x val="-6.9444444444444531E-2"/>
                  <c:y val="8.7962962962963256E-2"/>
                </c:manualLayout>
              </c:layout>
              <c:showLegendKey val="0"/>
              <c:showVal val="1"/>
              <c:showCatName val="0"/>
              <c:showSerName val="0"/>
              <c:showPercent val="0"/>
              <c:showBubbleSize val="0"/>
            </c:dLbl>
            <c:dLbl>
              <c:idx val="3"/>
              <c:layout>
                <c:manualLayout>
                  <c:x val="-7.5000000000000039E-2"/>
                  <c:y val="9.7222222222222238E-2"/>
                </c:manualLayout>
              </c:layout>
              <c:showLegendKey val="0"/>
              <c:showVal val="1"/>
              <c:showCatName val="0"/>
              <c:showSerName val="0"/>
              <c:showPercent val="0"/>
              <c:showBubbleSize val="0"/>
            </c:dLbl>
            <c:dLbl>
              <c:idx val="4"/>
              <c:layout>
                <c:manualLayout>
                  <c:x val="-6.3888888888888801E-2"/>
                  <c:y val="8.3333333333333398E-2"/>
                </c:manualLayout>
              </c:layout>
              <c:showLegendKey val="0"/>
              <c:showVal val="1"/>
              <c:showCatName val="0"/>
              <c:showSerName val="0"/>
              <c:showPercent val="0"/>
              <c:showBubbleSize val="0"/>
            </c:dLbl>
            <c:txPr>
              <a:bodyPr/>
              <a:lstStyle/>
              <a:p>
                <a:pPr>
                  <a:defRPr sz="700" b="1">
                    <a:solidFill>
                      <a:schemeClr val="bg1"/>
                    </a:solidFill>
                  </a:defRPr>
                </a:pPr>
                <a:endParaRPr lang="es-ES"/>
              </a:p>
            </c:txPr>
            <c:showLegendKey val="0"/>
            <c:showVal val="1"/>
            <c:showCatName val="0"/>
            <c:showSerName val="0"/>
            <c:showPercent val="0"/>
            <c:showBubbleSize val="0"/>
            <c:showLeaderLines val="0"/>
          </c:dLbls>
          <c:cat>
            <c:numRef>
              <c:f>Hoja3!$C$7:$G$7</c:f>
              <c:numCache>
                <c:formatCode>General</c:formatCode>
                <c:ptCount val="5"/>
                <c:pt idx="0">
                  <c:v>2012</c:v>
                </c:pt>
                <c:pt idx="1">
                  <c:v>2013</c:v>
                </c:pt>
                <c:pt idx="2">
                  <c:v>2014</c:v>
                </c:pt>
                <c:pt idx="3">
                  <c:v>2015</c:v>
                </c:pt>
                <c:pt idx="4">
                  <c:v>2016</c:v>
                </c:pt>
              </c:numCache>
            </c:numRef>
          </c:cat>
          <c:val>
            <c:numRef>
              <c:f>Hoja3!$C$9:$G$9</c:f>
              <c:numCache>
                <c:formatCode>#,##0</c:formatCode>
                <c:ptCount val="5"/>
                <c:pt idx="0">
                  <c:v>640316</c:v>
                </c:pt>
                <c:pt idx="1">
                  <c:v>679757</c:v>
                </c:pt>
                <c:pt idx="2">
                  <c:v>747901</c:v>
                </c:pt>
                <c:pt idx="3">
                  <c:v>890000</c:v>
                </c:pt>
                <c:pt idx="4">
                  <c:v>890000</c:v>
                </c:pt>
              </c:numCache>
            </c:numRef>
          </c:val>
          <c:smooth val="0"/>
        </c:ser>
        <c:ser>
          <c:idx val="2"/>
          <c:order val="2"/>
          <c:tx>
            <c:strRef>
              <c:f>Hoja3!$B$10</c:f>
              <c:strCache>
                <c:ptCount val="1"/>
              </c:strCache>
            </c:strRef>
          </c:tx>
          <c:spPr>
            <a:ln w="44450"/>
          </c:spPr>
          <c:cat>
            <c:numRef>
              <c:f>Hoja3!$C$7:$G$7</c:f>
              <c:numCache>
                <c:formatCode>General</c:formatCode>
                <c:ptCount val="5"/>
                <c:pt idx="0">
                  <c:v>2012</c:v>
                </c:pt>
                <c:pt idx="1">
                  <c:v>2013</c:v>
                </c:pt>
                <c:pt idx="2">
                  <c:v>2014</c:v>
                </c:pt>
                <c:pt idx="3">
                  <c:v>2015</c:v>
                </c:pt>
                <c:pt idx="4">
                  <c:v>2016</c:v>
                </c:pt>
              </c:numCache>
            </c:numRef>
          </c:cat>
          <c:val>
            <c:numRef>
              <c:f>Hoja3!$C$10:$G$10</c:f>
              <c:numCache>
                <c:formatCode>General</c:formatCode>
                <c:ptCount val="5"/>
              </c:numCache>
            </c:numRef>
          </c:val>
          <c:smooth val="0"/>
        </c:ser>
        <c:dLbls>
          <c:showLegendKey val="0"/>
          <c:showVal val="0"/>
          <c:showCatName val="0"/>
          <c:showSerName val="0"/>
          <c:showPercent val="0"/>
          <c:showBubbleSize val="0"/>
        </c:dLbls>
        <c:marker val="1"/>
        <c:smooth val="0"/>
        <c:axId val="251955712"/>
        <c:axId val="252783424"/>
      </c:lineChart>
      <c:catAx>
        <c:axId val="251955712"/>
        <c:scaling>
          <c:orientation val="minMax"/>
        </c:scaling>
        <c:delete val="0"/>
        <c:axPos val="b"/>
        <c:numFmt formatCode="General" sourceLinked="1"/>
        <c:majorTickMark val="none"/>
        <c:minorTickMark val="none"/>
        <c:tickLblPos val="nextTo"/>
        <c:txPr>
          <a:bodyPr/>
          <a:lstStyle/>
          <a:p>
            <a:pPr>
              <a:defRPr sz="800"/>
            </a:pPr>
            <a:endParaRPr lang="es-ES"/>
          </a:p>
        </c:txPr>
        <c:crossAx val="252783424"/>
        <c:crosses val="autoZero"/>
        <c:auto val="1"/>
        <c:lblAlgn val="ctr"/>
        <c:lblOffset val="100"/>
        <c:noMultiLvlLbl val="0"/>
      </c:catAx>
      <c:valAx>
        <c:axId val="252783424"/>
        <c:scaling>
          <c:orientation val="minMax"/>
        </c:scaling>
        <c:delete val="0"/>
        <c:axPos val="l"/>
        <c:majorGridlines/>
        <c:minorGridlines/>
        <c:numFmt formatCode="#,##0" sourceLinked="1"/>
        <c:majorTickMark val="none"/>
        <c:minorTickMark val="none"/>
        <c:tickLblPos val="nextTo"/>
        <c:txPr>
          <a:bodyPr/>
          <a:lstStyle/>
          <a:p>
            <a:pPr>
              <a:defRPr sz="800"/>
            </a:pPr>
            <a:endParaRPr lang="es-ES"/>
          </a:p>
        </c:txPr>
        <c:crossAx val="251955712"/>
        <c:crosses val="autoZero"/>
        <c:crossBetween val="between"/>
      </c:valAx>
    </c:plotArea>
    <c:legend>
      <c:legendPos val="b"/>
      <c:legendEntry>
        <c:idx val="2"/>
        <c:delete val="1"/>
      </c:legendEntry>
      <c:overlay val="0"/>
      <c:txPr>
        <a:bodyPr/>
        <a:lstStyle/>
        <a:p>
          <a:pPr>
            <a:defRPr sz="800"/>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sz="900"/>
            </a:pPr>
            <a:r>
              <a:rPr lang="es-CO" sz="900" b="1"/>
              <a:t>Pruebas Saber 11. Promedio núcleo común por áreas</a:t>
            </a:r>
            <a:r>
              <a:rPr lang="es-CO" sz="900" b="1" baseline="0"/>
              <a:t> académicas. Bogotá, 2007 y 2011</a:t>
            </a:r>
            <a:endParaRPr lang="es-CO" sz="900" b="1"/>
          </a:p>
        </c:rich>
      </c:tx>
      <c:overlay val="0"/>
    </c:title>
    <c:autoTitleDeleted val="0"/>
    <c:plotArea>
      <c:layout/>
      <c:barChart>
        <c:barDir val="col"/>
        <c:grouping val="clustered"/>
        <c:varyColors val="0"/>
        <c:ser>
          <c:idx val="0"/>
          <c:order val="0"/>
          <c:tx>
            <c:strRef>
              <c:f>'[1]bta col nucleo comun'!$B$69</c:f>
              <c:strCache>
                <c:ptCount val="1"/>
                <c:pt idx="0">
                  <c:v>2007</c:v>
                </c:pt>
              </c:strCache>
            </c:strRef>
          </c:tx>
          <c:spPr>
            <a:solidFill>
              <a:srgbClr val="558ED5"/>
            </a:solidFill>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1"/>
              <c:layout>
                <c:manualLayout>
                  <c:x val="-1.1059907031466504E-2"/>
                  <c:y val="0"/>
                </c:manualLayout>
              </c:layout>
              <c:dLblPos val="outEnd"/>
              <c:showLegendKey val="0"/>
              <c:showVal val="1"/>
              <c:showCatName val="0"/>
              <c:showSerName val="0"/>
              <c:showPercent val="0"/>
              <c:showBubbleSize val="0"/>
            </c:dLbl>
            <c:dLbl>
              <c:idx val="2"/>
              <c:layout>
                <c:manualLayout>
                  <c:x val="-1.1059907031466504E-2"/>
                  <c:y val="0"/>
                </c:manualLayout>
              </c:layout>
              <c:dLblPos val="outEnd"/>
              <c:showLegendKey val="0"/>
              <c:showVal val="1"/>
              <c:showCatName val="0"/>
              <c:showSerName val="0"/>
              <c:showPercent val="0"/>
              <c:showBubbleSize val="0"/>
            </c:dLbl>
            <c:txPr>
              <a:bodyPr/>
              <a:lstStyle/>
              <a:p>
                <a:pPr>
                  <a:defRPr lang="es-CO" sz="800"/>
                </a:pPr>
                <a:endParaRPr lang="es-ES"/>
              </a:p>
            </c:txPr>
            <c:dLblPos val="outEnd"/>
            <c:showLegendKey val="0"/>
            <c:showVal val="1"/>
            <c:showCatName val="0"/>
            <c:showSerName val="0"/>
            <c:showPercent val="0"/>
            <c:showBubbleSize val="0"/>
            <c:showLeaderLines val="0"/>
          </c:dLbls>
          <c:cat>
            <c:strRef>
              <c:f>'[1]bta col nucleo comun'!$A$70:$A$76</c:f>
              <c:strCache>
                <c:ptCount val="7"/>
                <c:pt idx="0">
                  <c:v>Biología</c:v>
                </c:pt>
                <c:pt idx="1">
                  <c:v>C. Sociales</c:v>
                </c:pt>
                <c:pt idx="2">
                  <c:v>Filosofía</c:v>
                </c:pt>
                <c:pt idx="3">
                  <c:v>Física</c:v>
                </c:pt>
                <c:pt idx="4">
                  <c:v>Lenguaje</c:v>
                </c:pt>
                <c:pt idx="5">
                  <c:v>Matemática</c:v>
                </c:pt>
                <c:pt idx="6">
                  <c:v>Química</c:v>
                </c:pt>
              </c:strCache>
            </c:strRef>
          </c:cat>
          <c:val>
            <c:numRef>
              <c:f>'[1]bta col nucleo comun'!$B$70:$B$76</c:f>
              <c:numCache>
                <c:formatCode>General</c:formatCode>
                <c:ptCount val="7"/>
                <c:pt idx="0">
                  <c:v>47</c:v>
                </c:pt>
                <c:pt idx="1">
                  <c:v>45.52</c:v>
                </c:pt>
                <c:pt idx="2">
                  <c:v>41.55</c:v>
                </c:pt>
                <c:pt idx="3">
                  <c:v>44.88</c:v>
                </c:pt>
                <c:pt idx="4">
                  <c:v>48.620000000000012</c:v>
                </c:pt>
                <c:pt idx="5">
                  <c:v>46.54</c:v>
                </c:pt>
                <c:pt idx="6">
                  <c:v>45.84</c:v>
                </c:pt>
              </c:numCache>
            </c:numRef>
          </c:val>
        </c:ser>
        <c:ser>
          <c:idx val="1"/>
          <c:order val="1"/>
          <c:tx>
            <c:strRef>
              <c:f>'[1]bta col nucleo comun'!$C$69</c:f>
              <c:strCache>
                <c:ptCount val="1"/>
                <c:pt idx="0">
                  <c:v>2011</c:v>
                </c:pt>
              </c:strCache>
            </c:strRef>
          </c:tx>
          <c:spPr>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6"/>
              <c:layout>
                <c:manualLayout>
                  <c:x val="-1.0138130995623429E-16"/>
                  <c:y val="-3.7780401416765225E-2"/>
                </c:manualLayout>
              </c:layout>
              <c:dLblPos val="outEnd"/>
              <c:showLegendKey val="0"/>
              <c:showVal val="1"/>
              <c:showCatName val="0"/>
              <c:showSerName val="0"/>
              <c:showPercent val="0"/>
              <c:showBubbleSize val="0"/>
            </c:dLbl>
            <c:txPr>
              <a:bodyPr/>
              <a:lstStyle/>
              <a:p>
                <a:pPr>
                  <a:defRPr lang="es-CO" sz="800"/>
                </a:pPr>
                <a:endParaRPr lang="es-ES"/>
              </a:p>
            </c:txPr>
            <c:dLblPos val="outEnd"/>
            <c:showLegendKey val="0"/>
            <c:showVal val="1"/>
            <c:showCatName val="0"/>
            <c:showSerName val="0"/>
            <c:showPercent val="0"/>
            <c:showBubbleSize val="0"/>
            <c:showLeaderLines val="0"/>
          </c:dLbls>
          <c:cat>
            <c:strRef>
              <c:f>'[1]bta col nucleo comun'!$A$70:$A$76</c:f>
              <c:strCache>
                <c:ptCount val="7"/>
                <c:pt idx="0">
                  <c:v>Biología</c:v>
                </c:pt>
                <c:pt idx="1">
                  <c:v>C. Sociales</c:v>
                </c:pt>
                <c:pt idx="2">
                  <c:v>Filosofía</c:v>
                </c:pt>
                <c:pt idx="3">
                  <c:v>Física</c:v>
                </c:pt>
                <c:pt idx="4">
                  <c:v>Lenguaje</c:v>
                </c:pt>
                <c:pt idx="5">
                  <c:v>Matemática</c:v>
                </c:pt>
                <c:pt idx="6">
                  <c:v>Química</c:v>
                </c:pt>
              </c:strCache>
            </c:strRef>
          </c:cat>
          <c:val>
            <c:numRef>
              <c:f>'[1]bta col nucleo comun'!$C$70:$C$76</c:f>
              <c:numCache>
                <c:formatCode>General</c:formatCode>
                <c:ptCount val="7"/>
                <c:pt idx="0">
                  <c:v>47.91</c:v>
                </c:pt>
                <c:pt idx="1">
                  <c:v>47.59</c:v>
                </c:pt>
                <c:pt idx="2">
                  <c:v>43.290000000000013</c:v>
                </c:pt>
                <c:pt idx="3">
                  <c:v>46.1</c:v>
                </c:pt>
                <c:pt idx="4">
                  <c:v>49.64</c:v>
                </c:pt>
                <c:pt idx="5">
                  <c:v>49.45</c:v>
                </c:pt>
                <c:pt idx="6">
                  <c:v>46.46</c:v>
                </c:pt>
              </c:numCache>
            </c:numRef>
          </c:val>
        </c:ser>
        <c:dLbls>
          <c:showLegendKey val="0"/>
          <c:showVal val="0"/>
          <c:showCatName val="0"/>
          <c:showSerName val="0"/>
          <c:showPercent val="0"/>
          <c:showBubbleSize val="0"/>
        </c:dLbls>
        <c:gapWidth val="150"/>
        <c:axId val="151435264"/>
        <c:axId val="264448832"/>
      </c:barChart>
      <c:catAx>
        <c:axId val="151435264"/>
        <c:scaling>
          <c:orientation val="minMax"/>
        </c:scaling>
        <c:delete val="0"/>
        <c:axPos val="b"/>
        <c:title>
          <c:tx>
            <c:rich>
              <a:bodyPr/>
              <a:lstStyle/>
              <a:p>
                <a:pPr marL="0" marR="0" indent="0" algn="l" defTabSz="914400" rtl="0" eaLnBrk="1" fontAlgn="auto" latinLnBrk="0" hangingPunct="1">
                  <a:lnSpc>
                    <a:spcPct val="100000"/>
                  </a:lnSpc>
                  <a:spcBef>
                    <a:spcPts val="0"/>
                  </a:spcBef>
                  <a:spcAft>
                    <a:spcPts val="0"/>
                  </a:spcAft>
                  <a:buClrTx/>
                  <a:buSzTx/>
                  <a:buFontTx/>
                  <a:buNone/>
                  <a:tabLst/>
                  <a:defRPr lang="es-CO" sz="700" b="0" i="0" u="none" strike="noStrike" kern="1200" baseline="0">
                    <a:solidFill>
                      <a:srgbClr val="000000"/>
                    </a:solidFill>
                    <a:latin typeface="Calibri"/>
                    <a:ea typeface="Calibri"/>
                    <a:cs typeface="Calibri"/>
                  </a:defRPr>
                </a:pPr>
                <a:r>
                  <a:rPr lang="es-CO" sz="700"/>
                  <a:t>Fuente: C</a:t>
                </a:r>
                <a:r>
                  <a:rPr lang="es-CO" sz="700" b="0" i="0" baseline="0"/>
                  <a:t>onstruida con base en  información del ICFES. Consulta en línea el 12 de julio de 2012- Medellín 2012</a:t>
                </a:r>
                <a:endParaRPr lang="es-CO" sz="700"/>
              </a:p>
              <a:p>
                <a:pPr marL="0" marR="0" indent="0" algn="l" defTabSz="914400" rtl="0" eaLnBrk="1" fontAlgn="auto" latinLnBrk="0" hangingPunct="1">
                  <a:lnSpc>
                    <a:spcPct val="100000"/>
                  </a:lnSpc>
                  <a:spcBef>
                    <a:spcPts val="0"/>
                  </a:spcBef>
                  <a:spcAft>
                    <a:spcPts val="0"/>
                  </a:spcAft>
                  <a:buClrTx/>
                  <a:buSzTx/>
                  <a:buFontTx/>
                  <a:buNone/>
                  <a:tabLst/>
                  <a:defRPr lang="es-CO" sz="700" b="0" i="0" u="none" strike="noStrike" kern="1200" baseline="0">
                    <a:solidFill>
                      <a:srgbClr val="000000"/>
                    </a:solidFill>
                    <a:latin typeface="Calibri"/>
                    <a:ea typeface="Calibri"/>
                    <a:cs typeface="Calibri"/>
                  </a:defRPr>
                </a:pPr>
                <a:endParaRPr lang="es-CO" sz="700"/>
              </a:p>
            </c:rich>
          </c:tx>
          <c:overlay val="0"/>
        </c:title>
        <c:numFmt formatCode="General" sourceLinked="1"/>
        <c:majorTickMark val="out"/>
        <c:minorTickMark val="none"/>
        <c:tickLblPos val="nextTo"/>
        <c:txPr>
          <a:bodyPr rot="-2700000" vert="horz"/>
          <a:lstStyle/>
          <a:p>
            <a:pPr>
              <a:defRPr lang="es-CO" sz="800" b="0" i="0" u="none" strike="noStrike" baseline="0">
                <a:solidFill>
                  <a:srgbClr val="000000"/>
                </a:solidFill>
                <a:latin typeface="Calibri"/>
                <a:ea typeface="Calibri"/>
                <a:cs typeface="Calibri"/>
              </a:defRPr>
            </a:pPr>
            <a:endParaRPr lang="es-ES"/>
          </a:p>
        </c:txPr>
        <c:crossAx val="264448832"/>
        <c:crosses val="autoZero"/>
        <c:auto val="1"/>
        <c:lblAlgn val="ctr"/>
        <c:lblOffset val="100"/>
        <c:noMultiLvlLbl val="0"/>
      </c:catAx>
      <c:valAx>
        <c:axId val="26444883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rot="0" vert="horz"/>
          <a:lstStyle/>
          <a:p>
            <a:pPr>
              <a:defRPr lang="es-CO" sz="800" b="0" i="0" u="none" strike="noStrike" baseline="0">
                <a:solidFill>
                  <a:srgbClr val="000000"/>
                </a:solidFill>
                <a:latin typeface="Calibri"/>
                <a:ea typeface="Calibri"/>
                <a:cs typeface="Calibri"/>
              </a:defRPr>
            </a:pPr>
            <a:endParaRPr lang="es-ES"/>
          </a:p>
        </c:txPr>
        <c:crossAx val="151435264"/>
        <c:crosses val="autoZero"/>
        <c:crossBetween val="between"/>
      </c:valAx>
      <c:spPr>
        <a:solidFill>
          <a:schemeClr val="bg1">
            <a:lumMod val="95000"/>
          </a:schemeClr>
        </a:solidFill>
      </c:spPr>
    </c:plotArea>
    <c:legend>
      <c:legendPos val="r"/>
      <c:overlay val="0"/>
      <c:txPr>
        <a:bodyPr/>
        <a:lstStyle/>
        <a:p>
          <a:pPr>
            <a:defRPr lang="es-CO" sz="920" b="0" i="0" u="none" strike="noStrike" baseline="0">
              <a:solidFill>
                <a:srgbClr val="000000"/>
              </a:solidFill>
              <a:latin typeface="Calibri"/>
              <a:ea typeface="Calibri"/>
              <a:cs typeface="Calibri"/>
            </a:defRPr>
          </a:pPr>
          <a:endParaRPr lang="es-E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sz="900"/>
            </a:pPr>
            <a:r>
              <a:rPr lang="es-CO" sz="900"/>
              <a:t>Pruebas</a:t>
            </a:r>
            <a:r>
              <a:rPr lang="es-CO" sz="900" baseline="0"/>
              <a:t> saber 11. Promedio núcleo común según áreas académicas y tipo de establecimiento educativo. Bogotá, 2011</a:t>
            </a:r>
            <a:endParaRPr lang="es-CO" sz="900"/>
          </a:p>
        </c:rich>
      </c:tx>
      <c:overlay val="0"/>
    </c:title>
    <c:autoTitleDeleted val="0"/>
    <c:plotArea>
      <c:layout/>
      <c:barChart>
        <c:barDir val="col"/>
        <c:grouping val="clustered"/>
        <c:varyColors val="0"/>
        <c:ser>
          <c:idx val="0"/>
          <c:order val="0"/>
          <c:tx>
            <c:strRef>
              <c:f>[1]Datos!$F$10</c:f>
              <c:strCache>
                <c:ptCount val="1"/>
                <c:pt idx="0">
                  <c:v>Privado</c:v>
                </c:pt>
              </c:strCache>
            </c:strRef>
          </c:tx>
          <c:spPr>
            <a:solidFill>
              <a:schemeClr val="accent1">
                <a:lumMod val="75000"/>
              </a:schemeClr>
            </a:solidFill>
            <a:effectLst>
              <a:outerShdw blurRad="50800" dist="38100" dir="2700000" algn="tl" rotWithShape="0">
                <a:prstClr val="black">
                  <a:alpha val="40000"/>
                </a:prstClr>
              </a:outerShdw>
            </a:effectLst>
            <a:scene3d>
              <a:camera prst="orthographicFront"/>
              <a:lightRig rig="threePt" dir="t"/>
            </a:scene3d>
            <a:sp3d>
              <a:bevelT/>
            </a:sp3d>
          </c:spPr>
          <c:invertIfNegative val="0"/>
          <c:dLbls>
            <c:txPr>
              <a:bodyPr/>
              <a:lstStyle/>
              <a:p>
                <a:pPr>
                  <a:defRPr lang="es-CO" sz="700"/>
                </a:pPr>
                <a:endParaRPr lang="es-ES"/>
              </a:p>
            </c:txPr>
            <c:dLblPos val="outEnd"/>
            <c:showLegendKey val="0"/>
            <c:showVal val="1"/>
            <c:showCatName val="0"/>
            <c:showSerName val="0"/>
            <c:showPercent val="0"/>
            <c:showBubbleSize val="0"/>
            <c:showLeaderLines val="0"/>
          </c:dLbls>
          <c:cat>
            <c:strRef>
              <c:f>[1]Datos!$E$11:$E$17</c:f>
              <c:strCache>
                <c:ptCount val="7"/>
                <c:pt idx="0">
                  <c:v>Biología</c:v>
                </c:pt>
                <c:pt idx="1">
                  <c:v>C. Sociales</c:v>
                </c:pt>
                <c:pt idx="2">
                  <c:v>Filosofía</c:v>
                </c:pt>
                <c:pt idx="3">
                  <c:v>Física</c:v>
                </c:pt>
                <c:pt idx="4">
                  <c:v>Lemguaje</c:v>
                </c:pt>
                <c:pt idx="5">
                  <c:v>Matemáticas</c:v>
                </c:pt>
                <c:pt idx="6">
                  <c:v>Química</c:v>
                </c:pt>
              </c:strCache>
            </c:strRef>
          </c:cat>
          <c:val>
            <c:numRef>
              <c:f>[1]Datos!$F$11:$F$17</c:f>
              <c:numCache>
                <c:formatCode>General</c:formatCode>
                <c:ptCount val="7"/>
                <c:pt idx="0">
                  <c:v>49.67</c:v>
                </c:pt>
                <c:pt idx="1">
                  <c:v>49.88</c:v>
                </c:pt>
                <c:pt idx="2">
                  <c:v>45.11</c:v>
                </c:pt>
                <c:pt idx="3">
                  <c:v>47.760000000000012</c:v>
                </c:pt>
                <c:pt idx="4">
                  <c:v>51.790000000000013</c:v>
                </c:pt>
                <c:pt idx="5">
                  <c:v>51.91</c:v>
                </c:pt>
                <c:pt idx="6">
                  <c:v>47.96</c:v>
                </c:pt>
              </c:numCache>
            </c:numRef>
          </c:val>
        </c:ser>
        <c:ser>
          <c:idx val="1"/>
          <c:order val="1"/>
          <c:tx>
            <c:strRef>
              <c:f>[1]Datos!$G$10</c:f>
              <c:strCache>
                <c:ptCount val="1"/>
                <c:pt idx="0">
                  <c:v>Público</c:v>
                </c:pt>
              </c:strCache>
            </c:strRef>
          </c:tx>
          <c:spPr>
            <a:solidFill>
              <a:schemeClr val="accent2">
                <a:lumMod val="75000"/>
              </a:schemeClr>
            </a:solidFill>
            <a:effectLst>
              <a:innerShdw blurRad="63500" dist="50800" dir="13500000">
                <a:prstClr val="black">
                  <a:alpha val="50000"/>
                </a:prstClr>
              </a:innerShdw>
            </a:effectLst>
            <a:scene3d>
              <a:camera prst="orthographicFront"/>
              <a:lightRig rig="threePt" dir="t"/>
            </a:scene3d>
            <a:sp3d>
              <a:bevelT/>
            </a:sp3d>
          </c:spPr>
          <c:invertIfNegative val="0"/>
          <c:dLbls>
            <c:txPr>
              <a:bodyPr/>
              <a:lstStyle/>
              <a:p>
                <a:pPr>
                  <a:defRPr lang="es-CO" sz="700"/>
                </a:pPr>
                <a:endParaRPr lang="es-ES"/>
              </a:p>
            </c:txPr>
            <c:dLblPos val="outEnd"/>
            <c:showLegendKey val="0"/>
            <c:showVal val="1"/>
            <c:showCatName val="0"/>
            <c:showSerName val="0"/>
            <c:showPercent val="0"/>
            <c:showBubbleSize val="0"/>
            <c:showLeaderLines val="0"/>
          </c:dLbls>
          <c:cat>
            <c:strRef>
              <c:f>[1]Datos!$E$11:$E$17</c:f>
              <c:strCache>
                <c:ptCount val="7"/>
                <c:pt idx="0">
                  <c:v>Biología</c:v>
                </c:pt>
                <c:pt idx="1">
                  <c:v>C. Sociales</c:v>
                </c:pt>
                <c:pt idx="2">
                  <c:v>Filosofía</c:v>
                </c:pt>
                <c:pt idx="3">
                  <c:v>Física</c:v>
                </c:pt>
                <c:pt idx="4">
                  <c:v>Lemguaje</c:v>
                </c:pt>
                <c:pt idx="5">
                  <c:v>Matemáticas</c:v>
                </c:pt>
                <c:pt idx="6">
                  <c:v>Química</c:v>
                </c:pt>
              </c:strCache>
            </c:strRef>
          </c:cat>
          <c:val>
            <c:numRef>
              <c:f>[1]Datos!$G$11:$G$17</c:f>
              <c:numCache>
                <c:formatCode>General</c:formatCode>
                <c:ptCount val="7"/>
                <c:pt idx="0">
                  <c:v>46.290000000000013</c:v>
                </c:pt>
                <c:pt idx="1">
                  <c:v>45.47</c:v>
                </c:pt>
                <c:pt idx="2">
                  <c:v>41.6</c:v>
                </c:pt>
                <c:pt idx="3">
                  <c:v>44.56</c:v>
                </c:pt>
                <c:pt idx="4">
                  <c:v>47.65</c:v>
                </c:pt>
                <c:pt idx="5">
                  <c:v>47.18</c:v>
                </c:pt>
                <c:pt idx="6">
                  <c:v>45.08</c:v>
                </c:pt>
              </c:numCache>
            </c:numRef>
          </c:val>
        </c:ser>
        <c:dLbls>
          <c:showLegendKey val="0"/>
          <c:showVal val="0"/>
          <c:showCatName val="0"/>
          <c:showSerName val="0"/>
          <c:showPercent val="0"/>
          <c:showBubbleSize val="0"/>
        </c:dLbls>
        <c:gapWidth val="150"/>
        <c:axId val="151435776"/>
        <c:axId val="264449984"/>
      </c:barChart>
      <c:catAx>
        <c:axId val="151435776"/>
        <c:scaling>
          <c:orientation val="minMax"/>
        </c:scaling>
        <c:delete val="0"/>
        <c:axPos val="b"/>
        <c:title>
          <c:tx>
            <c:rich>
              <a:bodyPr/>
              <a:lstStyle/>
              <a:p>
                <a:pPr marL="0" marR="0" indent="0" algn="l" defTabSz="914400" rtl="0" eaLnBrk="1" fontAlgn="auto" latinLnBrk="0" hangingPunct="1">
                  <a:lnSpc>
                    <a:spcPct val="100000"/>
                  </a:lnSpc>
                  <a:spcBef>
                    <a:spcPts val="0"/>
                  </a:spcBef>
                  <a:spcAft>
                    <a:spcPts val="0"/>
                  </a:spcAft>
                  <a:buClrTx/>
                  <a:buSzTx/>
                  <a:buFontTx/>
                  <a:buNone/>
                  <a:tabLst/>
                  <a:defRPr lang="es-CO" sz="800" b="1" i="0" u="none" strike="noStrike" kern="1200" baseline="0">
                    <a:solidFill>
                      <a:sysClr val="windowText" lastClr="000000"/>
                    </a:solidFill>
                    <a:latin typeface="+mn-lt"/>
                    <a:ea typeface="+mn-ea"/>
                    <a:cs typeface="+mn-cs"/>
                  </a:defRPr>
                </a:pPr>
                <a:r>
                  <a:rPr lang="es-CO" sz="800" b="0" i="0" baseline="0"/>
                  <a:t>Fuente: construida con base en  información del ICFES. Consulta en línea el 12 de julio de 2012- Medellín 2012.</a:t>
                </a:r>
                <a:endParaRPr lang="es-CO" sz="800"/>
              </a:p>
            </c:rich>
          </c:tx>
          <c:layout>
            <c:manualLayout>
              <c:xMode val="edge"/>
              <c:yMode val="edge"/>
              <c:x val="7.8002405949256767E-2"/>
              <c:y val="0.86154177747649574"/>
            </c:manualLayout>
          </c:layout>
          <c:overlay val="0"/>
        </c:title>
        <c:numFmt formatCode="General" sourceLinked="1"/>
        <c:majorTickMark val="out"/>
        <c:minorTickMark val="none"/>
        <c:tickLblPos val="nextTo"/>
        <c:txPr>
          <a:bodyPr/>
          <a:lstStyle/>
          <a:p>
            <a:pPr>
              <a:defRPr lang="es-CO" sz="800"/>
            </a:pPr>
            <a:endParaRPr lang="es-ES"/>
          </a:p>
        </c:txPr>
        <c:crossAx val="264449984"/>
        <c:crosses val="autoZero"/>
        <c:auto val="1"/>
        <c:lblAlgn val="ctr"/>
        <c:lblOffset val="100"/>
        <c:noMultiLvlLbl val="0"/>
      </c:catAx>
      <c:valAx>
        <c:axId val="26444998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lang="es-CO" sz="800"/>
            </a:pPr>
            <a:endParaRPr lang="es-ES"/>
          </a:p>
        </c:txPr>
        <c:crossAx val="151435776"/>
        <c:crosses val="autoZero"/>
        <c:crossBetween val="between"/>
      </c:valAx>
      <c:spPr>
        <a:solidFill>
          <a:schemeClr val="bg1">
            <a:lumMod val="95000"/>
          </a:schemeClr>
        </a:solidFill>
      </c:spPr>
    </c:plotArea>
    <c:legend>
      <c:legendPos val="r"/>
      <c:overlay val="0"/>
      <c:txPr>
        <a:bodyPr/>
        <a:lstStyle/>
        <a:p>
          <a:pPr>
            <a:defRPr lang="es-CO" sz="800"/>
          </a:pPr>
          <a:endParaRPr lang="es-E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s-CO" sz="1000"/>
              <a:t>Pruebas Saber. Prueba Inglés según sector.  Bogotá, 2011</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layout>
                <c:manualLayout>
                  <c:x val="0"/>
                  <c:y val="-1.8518518518518615E-2"/>
                </c:manualLayout>
              </c:layout>
              <c:showLegendKey val="0"/>
              <c:showVal val="1"/>
              <c:showCatName val="0"/>
              <c:showSerName val="0"/>
              <c:showPercent val="0"/>
              <c:showBubbleSize val="0"/>
            </c:dLbl>
            <c:dLbl>
              <c:idx val="1"/>
              <c:layout>
                <c:manualLayout>
                  <c:x val="2.5000000000000012E-2"/>
                  <c:y val="-3.7037037037037229E-2"/>
                </c:manualLayout>
              </c:layout>
              <c:showLegendKey val="0"/>
              <c:showVal val="1"/>
              <c:showCatName val="0"/>
              <c:showSerName val="0"/>
              <c:showPercent val="0"/>
              <c:showBubbleSize val="0"/>
            </c:dLbl>
            <c:dLbl>
              <c:idx val="2"/>
              <c:layout>
                <c:manualLayout>
                  <c:x val="1.0185067526416132E-16"/>
                  <c:y val="-4.1666666666666713E-2"/>
                </c:manualLayout>
              </c:layout>
              <c:showLegendKey val="0"/>
              <c:showVal val="1"/>
              <c:showCatName val="0"/>
              <c:showSerName val="0"/>
              <c:showPercent val="0"/>
              <c:showBubbleSize val="0"/>
            </c:dLbl>
            <c:txPr>
              <a:bodyPr/>
              <a:lstStyle/>
              <a:p>
                <a:pPr>
                  <a:defRPr lang="es-CO" b="1"/>
                </a:pPr>
                <a:endParaRPr lang="es-ES"/>
              </a:p>
            </c:txPr>
            <c:showLegendKey val="0"/>
            <c:showVal val="1"/>
            <c:showCatName val="0"/>
            <c:showSerName val="0"/>
            <c:showPercent val="0"/>
            <c:showBubbleSize val="0"/>
            <c:showLeaderLines val="0"/>
          </c:dLbls>
          <c:cat>
            <c:strRef>
              <c:f>Datos!$B$11:$B$13</c:f>
              <c:strCache>
                <c:ptCount val="3"/>
                <c:pt idx="0">
                  <c:v>Privado</c:v>
                </c:pt>
                <c:pt idx="1">
                  <c:v>Público</c:v>
                </c:pt>
                <c:pt idx="2">
                  <c:v>Total</c:v>
                </c:pt>
              </c:strCache>
            </c:strRef>
          </c:cat>
          <c:val>
            <c:numRef>
              <c:f>Datos!$C$11:$C$13</c:f>
              <c:numCache>
                <c:formatCode>0.0</c:formatCode>
                <c:ptCount val="3"/>
                <c:pt idx="0">
                  <c:v>48.88</c:v>
                </c:pt>
                <c:pt idx="1">
                  <c:v>42.55</c:v>
                </c:pt>
                <c:pt idx="2">
                  <c:v>45.59</c:v>
                </c:pt>
              </c:numCache>
            </c:numRef>
          </c:val>
        </c:ser>
        <c:dLbls>
          <c:showLegendKey val="0"/>
          <c:showVal val="0"/>
          <c:showCatName val="0"/>
          <c:showSerName val="0"/>
          <c:showPercent val="0"/>
          <c:showBubbleSize val="0"/>
        </c:dLbls>
        <c:gapWidth val="150"/>
        <c:shape val="cylinder"/>
        <c:axId val="151436288"/>
        <c:axId val="264451712"/>
        <c:axId val="0"/>
      </c:bar3DChart>
      <c:catAx>
        <c:axId val="151436288"/>
        <c:scaling>
          <c:orientation val="minMax"/>
        </c:scaling>
        <c:delete val="0"/>
        <c:axPos val="b"/>
        <c:title>
          <c:tx>
            <c:rich>
              <a:bodyPr/>
              <a:lstStyle/>
              <a:p>
                <a:pPr marL="0" marR="0" indent="0" algn="l" defTabSz="914400" rtl="0" eaLnBrk="1" fontAlgn="auto" latinLnBrk="0" hangingPunct="1">
                  <a:lnSpc>
                    <a:spcPct val="100000"/>
                  </a:lnSpc>
                  <a:spcBef>
                    <a:spcPts val="0"/>
                  </a:spcBef>
                  <a:spcAft>
                    <a:spcPts val="0"/>
                  </a:spcAft>
                  <a:buClrTx/>
                  <a:buSzTx/>
                  <a:buFontTx/>
                  <a:buNone/>
                  <a:tabLst/>
                  <a:defRPr lang="es-CO" sz="800" b="1" i="0" u="none" strike="noStrike" kern="1200" baseline="0">
                    <a:solidFill>
                      <a:sysClr val="windowText" lastClr="000000"/>
                    </a:solidFill>
                    <a:latin typeface="+mn-lt"/>
                    <a:ea typeface="+mn-ea"/>
                    <a:cs typeface="+mn-cs"/>
                  </a:defRPr>
                </a:pPr>
                <a:r>
                  <a:rPr lang="es-CO" sz="800" b="0" i="0" baseline="0"/>
                  <a:t>Fuente: Construida con base en  información del ICFES. Consulta en línea el 12 de julio de 2012</a:t>
                </a:r>
              </a:p>
            </c:rich>
          </c:tx>
          <c:overlay val="0"/>
        </c:title>
        <c:majorTickMark val="out"/>
        <c:minorTickMark val="none"/>
        <c:tickLblPos val="nextTo"/>
        <c:txPr>
          <a:bodyPr/>
          <a:lstStyle/>
          <a:p>
            <a:pPr>
              <a:defRPr lang="es-CO"/>
            </a:pPr>
            <a:endParaRPr lang="es-ES"/>
          </a:p>
        </c:txPr>
        <c:crossAx val="264451712"/>
        <c:crosses val="autoZero"/>
        <c:auto val="1"/>
        <c:lblAlgn val="ctr"/>
        <c:lblOffset val="100"/>
        <c:noMultiLvlLbl val="0"/>
      </c:catAx>
      <c:valAx>
        <c:axId val="264451712"/>
        <c:scaling>
          <c:orientation val="minMax"/>
        </c:scaling>
        <c:delete val="0"/>
        <c:axPos val="l"/>
        <c:majorGridlines/>
        <c:numFmt formatCode="0.0" sourceLinked="1"/>
        <c:majorTickMark val="out"/>
        <c:minorTickMark val="none"/>
        <c:tickLblPos val="nextTo"/>
        <c:txPr>
          <a:bodyPr/>
          <a:lstStyle/>
          <a:p>
            <a:pPr>
              <a:defRPr lang="es-CO"/>
            </a:pPr>
            <a:endParaRPr lang="es-ES"/>
          </a:p>
        </c:txPr>
        <c:crossAx val="151436288"/>
        <c:crosses val="autoZero"/>
        <c:crossBetween val="between"/>
      </c:valAx>
      <c:spPr>
        <a:solidFill>
          <a:schemeClr val="bg1">
            <a:lumMod val="95000"/>
          </a:schemeClr>
        </a:solidFill>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sz="1000"/>
            </a:pPr>
            <a:r>
              <a:rPr lang="es-CO" sz="1000"/>
              <a:t>Años promedio de educación según grupos de edad. Bogotá, 2011.</a:t>
            </a:r>
          </a:p>
        </c:rich>
      </c:tx>
      <c:overlay val="0"/>
    </c:title>
    <c:autoTitleDeleted val="0"/>
    <c:plotArea>
      <c:layout/>
      <c:barChart>
        <c:barDir val="col"/>
        <c:grouping val="clustered"/>
        <c:varyColors val="0"/>
        <c:ser>
          <c:idx val="0"/>
          <c:order val="0"/>
          <c:spPr>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spPr/>
              <c:txPr>
                <a:bodyPr/>
                <a:lstStyle/>
                <a:p>
                  <a:pPr>
                    <a:defRPr lang="es-CO" sz="900"/>
                  </a:pPr>
                  <a:endParaRPr lang="es-ES"/>
                </a:p>
              </c:txPr>
              <c:dLblPos val="outEnd"/>
              <c:showLegendKey val="0"/>
              <c:showVal val="1"/>
              <c:showCatName val="0"/>
              <c:showSerName val="0"/>
              <c:showPercent val="0"/>
              <c:showBubbleSize val="0"/>
            </c:dLbl>
            <c:dLbl>
              <c:idx val="1"/>
              <c:spPr/>
              <c:txPr>
                <a:bodyPr/>
                <a:lstStyle/>
                <a:p>
                  <a:pPr>
                    <a:defRPr lang="es-CO" sz="900"/>
                  </a:pPr>
                  <a:endParaRPr lang="es-ES"/>
                </a:p>
              </c:txPr>
              <c:dLblPos val="outEnd"/>
              <c:showLegendKey val="0"/>
              <c:showVal val="1"/>
              <c:showCatName val="0"/>
              <c:showSerName val="0"/>
              <c:showPercent val="0"/>
              <c:showBubbleSize val="0"/>
            </c:dLbl>
            <c:dLbl>
              <c:idx val="2"/>
              <c:spPr/>
              <c:txPr>
                <a:bodyPr/>
                <a:lstStyle/>
                <a:p>
                  <a:pPr>
                    <a:defRPr lang="es-CO" sz="900"/>
                  </a:pPr>
                  <a:endParaRPr lang="es-ES"/>
                </a:p>
              </c:txPr>
              <c:dLblPos val="outEnd"/>
              <c:showLegendKey val="0"/>
              <c:showVal val="1"/>
              <c:showCatName val="0"/>
              <c:showSerName val="0"/>
              <c:showPercent val="0"/>
              <c:showBubbleSize val="0"/>
            </c:dLbl>
            <c:dLbl>
              <c:idx val="3"/>
              <c:spPr/>
              <c:txPr>
                <a:bodyPr/>
                <a:lstStyle/>
                <a:p>
                  <a:pPr>
                    <a:defRPr lang="es-CO" sz="900"/>
                  </a:pPr>
                  <a:endParaRPr lang="es-ES"/>
                </a:p>
              </c:txPr>
              <c:dLblPos val="outEnd"/>
              <c:showLegendKey val="0"/>
              <c:showVal val="1"/>
              <c:showCatName val="0"/>
              <c:showSerName val="0"/>
              <c:showPercent val="0"/>
              <c:showBubbleSize val="0"/>
            </c:dLbl>
            <c:showLegendKey val="0"/>
            <c:showVal val="0"/>
            <c:showCatName val="0"/>
            <c:showSerName val="0"/>
            <c:showPercent val="0"/>
            <c:showBubbleSize val="0"/>
          </c:dLbls>
          <c:cat>
            <c:strRef>
              <c:f>'[1]años X de educacion'!$A$5:$A$8</c:f>
              <c:strCache>
                <c:ptCount val="4"/>
                <c:pt idx="0">
                  <c:v>5 a 19 años</c:v>
                </c:pt>
                <c:pt idx="1">
                  <c:v>20 a 34 años</c:v>
                </c:pt>
                <c:pt idx="2">
                  <c:v>35 y más años</c:v>
                </c:pt>
                <c:pt idx="3">
                  <c:v>Total Bogotá</c:v>
                </c:pt>
              </c:strCache>
            </c:strRef>
          </c:cat>
          <c:val>
            <c:numRef>
              <c:f>'[1]años X de educacion'!$B$5:$B$8</c:f>
              <c:numCache>
                <c:formatCode>General</c:formatCode>
                <c:ptCount val="4"/>
                <c:pt idx="0">
                  <c:v>5.7</c:v>
                </c:pt>
                <c:pt idx="1">
                  <c:v>12</c:v>
                </c:pt>
                <c:pt idx="2">
                  <c:v>9.9</c:v>
                </c:pt>
                <c:pt idx="3">
                  <c:v>9.4</c:v>
                </c:pt>
              </c:numCache>
            </c:numRef>
          </c:val>
        </c:ser>
        <c:dLbls>
          <c:showLegendKey val="0"/>
          <c:showVal val="0"/>
          <c:showCatName val="0"/>
          <c:showSerName val="0"/>
          <c:showPercent val="0"/>
          <c:showBubbleSize val="0"/>
        </c:dLbls>
        <c:gapWidth val="150"/>
        <c:axId val="151449088"/>
        <c:axId val="119521856"/>
      </c:barChart>
      <c:catAx>
        <c:axId val="151449088"/>
        <c:scaling>
          <c:orientation val="minMax"/>
        </c:scaling>
        <c:delete val="0"/>
        <c:axPos val="b"/>
        <c:title>
          <c:tx>
            <c:rich>
              <a:bodyPr/>
              <a:lstStyle/>
              <a:p>
                <a:pPr algn="l">
                  <a:defRPr lang="es-CO" sz="800" b="0"/>
                </a:pPr>
                <a:r>
                  <a:rPr lang="es-CO" sz="800" b="0"/>
                  <a:t>Fuente: DANE-SDP. EMB. Bogotá, 2011. En: SED, Caracterización sector educativo. Año 2011. </a:t>
                </a:r>
              </a:p>
            </c:rich>
          </c:tx>
          <c:layout>
            <c:manualLayout>
              <c:xMode val="edge"/>
              <c:yMode val="edge"/>
              <c:x val="6.3561242344706906E-2"/>
              <c:y val="0.867916666666667"/>
            </c:manualLayout>
          </c:layout>
          <c:overlay val="0"/>
        </c:title>
        <c:numFmt formatCode="General" sourceLinked="1"/>
        <c:majorTickMark val="out"/>
        <c:minorTickMark val="none"/>
        <c:tickLblPos val="nextTo"/>
        <c:txPr>
          <a:bodyPr/>
          <a:lstStyle/>
          <a:p>
            <a:pPr>
              <a:defRPr lang="es-CO" sz="900"/>
            </a:pPr>
            <a:endParaRPr lang="es-ES"/>
          </a:p>
        </c:txPr>
        <c:crossAx val="119521856"/>
        <c:crosses val="autoZero"/>
        <c:auto val="1"/>
        <c:lblAlgn val="ctr"/>
        <c:lblOffset val="100"/>
        <c:noMultiLvlLbl val="0"/>
      </c:catAx>
      <c:valAx>
        <c:axId val="11952185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lang="es-CO" sz="900"/>
            </a:pPr>
            <a:endParaRPr lang="es-ES"/>
          </a:p>
        </c:txPr>
        <c:crossAx val="151449088"/>
        <c:crosses val="autoZero"/>
        <c:crossBetween val="between"/>
      </c:valAx>
      <c:spPr>
        <a:solidFill>
          <a:schemeClr val="bg1">
            <a:lumMod val="95000"/>
          </a:schemeClr>
        </a:solidFill>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2008</c:v>
          </c:tx>
          <c:invertIfNegative val="0"/>
          <c:val>
            <c:numRef>
              <c:f>Hoja1!$B$1</c:f>
              <c:numCache>
                <c:formatCode>General</c:formatCode>
                <c:ptCount val="1"/>
                <c:pt idx="0">
                  <c:v>102.6</c:v>
                </c:pt>
              </c:numCache>
            </c:numRef>
          </c:val>
        </c:ser>
        <c:ser>
          <c:idx val="1"/>
          <c:order val="1"/>
          <c:tx>
            <c:v>2009</c:v>
          </c:tx>
          <c:invertIfNegative val="0"/>
          <c:val>
            <c:numRef>
              <c:f>Hoja1!$B$2</c:f>
              <c:numCache>
                <c:formatCode>General</c:formatCode>
                <c:ptCount val="1"/>
                <c:pt idx="0">
                  <c:v>102.8</c:v>
                </c:pt>
              </c:numCache>
            </c:numRef>
          </c:val>
        </c:ser>
        <c:ser>
          <c:idx val="2"/>
          <c:order val="2"/>
          <c:tx>
            <c:v>2010</c:v>
          </c:tx>
          <c:invertIfNegative val="0"/>
          <c:val>
            <c:numRef>
              <c:f>Hoja1!$B$3</c:f>
              <c:numCache>
                <c:formatCode>General</c:formatCode>
                <c:ptCount val="1"/>
                <c:pt idx="0">
                  <c:v>103.1</c:v>
                </c:pt>
              </c:numCache>
            </c:numRef>
          </c:val>
        </c:ser>
        <c:ser>
          <c:idx val="3"/>
          <c:order val="3"/>
          <c:tx>
            <c:v>2011</c:v>
          </c:tx>
          <c:invertIfNegative val="0"/>
          <c:val>
            <c:numRef>
              <c:f>Hoja1!$B$4</c:f>
              <c:numCache>
                <c:formatCode>General</c:formatCode>
                <c:ptCount val="1"/>
                <c:pt idx="0">
                  <c:v>101</c:v>
                </c:pt>
              </c:numCache>
            </c:numRef>
          </c:val>
        </c:ser>
        <c:dLbls>
          <c:showLegendKey val="0"/>
          <c:showVal val="0"/>
          <c:showCatName val="0"/>
          <c:showSerName val="0"/>
          <c:showPercent val="0"/>
          <c:showBubbleSize val="0"/>
        </c:dLbls>
        <c:gapWidth val="150"/>
        <c:axId val="151436800"/>
        <c:axId val="119523584"/>
      </c:barChart>
      <c:catAx>
        <c:axId val="151436800"/>
        <c:scaling>
          <c:orientation val="minMax"/>
        </c:scaling>
        <c:delete val="1"/>
        <c:axPos val="b"/>
        <c:numFmt formatCode="General" sourceLinked="1"/>
        <c:majorTickMark val="out"/>
        <c:minorTickMark val="none"/>
        <c:tickLblPos val="none"/>
        <c:crossAx val="119523584"/>
        <c:crosses val="autoZero"/>
        <c:auto val="1"/>
        <c:lblAlgn val="ctr"/>
        <c:lblOffset val="100"/>
        <c:noMultiLvlLbl val="0"/>
      </c:catAx>
      <c:valAx>
        <c:axId val="119523584"/>
        <c:scaling>
          <c:orientation val="minMax"/>
        </c:scaling>
        <c:delete val="0"/>
        <c:axPos val="l"/>
        <c:majorGridlines/>
        <c:numFmt formatCode="General" sourceLinked="1"/>
        <c:majorTickMark val="out"/>
        <c:minorTickMark val="none"/>
        <c:tickLblPos val="nextTo"/>
        <c:crossAx val="151436800"/>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Serie 1</c:v>
                </c:pt>
              </c:strCache>
            </c:strRef>
          </c:tx>
          <c:invertIfNegative val="0"/>
          <c:dLbls>
            <c:dLbl>
              <c:idx val="0"/>
              <c:tx>
                <c:rich>
                  <a:bodyPr/>
                  <a:lstStyle/>
                  <a:p>
                    <a:r>
                      <a:rPr lang="en-US"/>
                      <a:t>72,120</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Hoja1!$A$2:$A$5</c:f>
              <c:numCache>
                <c:formatCode>General</c:formatCode>
                <c:ptCount val="4"/>
                <c:pt idx="0">
                  <c:v>2013</c:v>
                </c:pt>
                <c:pt idx="1">
                  <c:v>2014</c:v>
                </c:pt>
                <c:pt idx="2">
                  <c:v>2015</c:v>
                </c:pt>
                <c:pt idx="3">
                  <c:v>2016</c:v>
                </c:pt>
              </c:numCache>
            </c:numRef>
          </c:cat>
          <c:val>
            <c:numRef>
              <c:f>Hoja1!$B$2:$B$5</c:f>
              <c:numCache>
                <c:formatCode>General</c:formatCode>
                <c:ptCount val="4"/>
                <c:pt idx="0">
                  <c:v>72.11999999999999</c:v>
                </c:pt>
                <c:pt idx="1">
                  <c:v>75.725999999999999</c:v>
                </c:pt>
                <c:pt idx="2">
                  <c:v>79.512</c:v>
                </c:pt>
                <c:pt idx="3">
                  <c:v>83.488</c:v>
                </c:pt>
              </c:numCache>
            </c:numRef>
          </c:val>
        </c:ser>
        <c:ser>
          <c:idx val="1"/>
          <c:order val="1"/>
          <c:tx>
            <c:strRef>
              <c:f>Hoja1!$C$1</c:f>
              <c:strCache>
                <c:ptCount val="1"/>
                <c:pt idx="0">
                  <c:v>Columna1</c:v>
                </c:pt>
              </c:strCache>
            </c:strRef>
          </c:tx>
          <c:invertIfNegative val="0"/>
          <c:cat>
            <c:numRef>
              <c:f>Hoja1!$A$2:$A$5</c:f>
              <c:numCache>
                <c:formatCode>General</c:formatCode>
                <c:ptCount val="4"/>
                <c:pt idx="0">
                  <c:v>2013</c:v>
                </c:pt>
                <c:pt idx="1">
                  <c:v>2014</c:v>
                </c:pt>
                <c:pt idx="2">
                  <c:v>2015</c:v>
                </c:pt>
                <c:pt idx="3">
                  <c:v>2016</c:v>
                </c:pt>
              </c:numCache>
            </c:numRef>
          </c:cat>
          <c:val>
            <c:numRef>
              <c:f>Hoja1!$C$2:$C$5</c:f>
              <c:numCache>
                <c:formatCode>General</c:formatCode>
                <c:ptCount val="4"/>
              </c:numCache>
            </c:numRef>
          </c:val>
        </c:ser>
        <c:ser>
          <c:idx val="2"/>
          <c:order val="2"/>
          <c:tx>
            <c:strRef>
              <c:f>Hoja1!$D$1</c:f>
              <c:strCache>
                <c:ptCount val="1"/>
                <c:pt idx="0">
                  <c:v>Columna2</c:v>
                </c:pt>
              </c:strCache>
            </c:strRef>
          </c:tx>
          <c:invertIfNegative val="0"/>
          <c:cat>
            <c:numRef>
              <c:f>Hoja1!$A$2:$A$5</c:f>
              <c:numCache>
                <c:formatCode>General</c:formatCode>
                <c:ptCount val="4"/>
                <c:pt idx="0">
                  <c:v>2013</c:v>
                </c:pt>
                <c:pt idx="1">
                  <c:v>2014</c:v>
                </c:pt>
                <c:pt idx="2">
                  <c:v>2015</c:v>
                </c:pt>
                <c:pt idx="3">
                  <c:v>2016</c:v>
                </c:pt>
              </c:numCache>
            </c:numRef>
          </c:cat>
          <c:val>
            <c:numRef>
              <c:f>Hoja1!$D$2:$D$5</c:f>
              <c:numCache>
                <c:formatCode>General</c:formatCode>
                <c:ptCount val="4"/>
              </c:numCache>
            </c:numRef>
          </c:val>
        </c:ser>
        <c:dLbls>
          <c:showLegendKey val="0"/>
          <c:showVal val="0"/>
          <c:showCatName val="0"/>
          <c:showSerName val="0"/>
          <c:showPercent val="0"/>
          <c:showBubbleSize val="0"/>
        </c:dLbls>
        <c:gapWidth val="150"/>
        <c:shape val="cone"/>
        <c:axId val="251955200"/>
        <c:axId val="119525888"/>
        <c:axId val="0"/>
      </c:bar3DChart>
      <c:catAx>
        <c:axId val="251955200"/>
        <c:scaling>
          <c:orientation val="minMax"/>
        </c:scaling>
        <c:delete val="0"/>
        <c:axPos val="b"/>
        <c:numFmt formatCode="General" sourceLinked="1"/>
        <c:majorTickMark val="out"/>
        <c:minorTickMark val="none"/>
        <c:tickLblPos val="nextTo"/>
        <c:crossAx val="119525888"/>
        <c:crosses val="autoZero"/>
        <c:auto val="1"/>
        <c:lblAlgn val="ctr"/>
        <c:lblOffset val="100"/>
        <c:noMultiLvlLbl val="0"/>
      </c:catAx>
      <c:valAx>
        <c:axId val="119525888"/>
        <c:scaling>
          <c:orientation val="minMax"/>
        </c:scaling>
        <c:delete val="0"/>
        <c:axPos val="l"/>
        <c:majorGridlines/>
        <c:numFmt formatCode="General" sourceLinked="1"/>
        <c:majorTickMark val="out"/>
        <c:minorTickMark val="none"/>
        <c:tickLblPos val="nextTo"/>
        <c:crossAx val="251955200"/>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Hábitat escolar</c:v>
                </c:pt>
              </c:strCache>
            </c:strRef>
          </c:tx>
          <c:dLbls>
            <c:showLegendKey val="0"/>
            <c:showVal val="1"/>
            <c:showCatName val="0"/>
            <c:showSerName val="0"/>
            <c:showPercent val="0"/>
            <c:showBubbleSize val="0"/>
            <c:showLeaderLines val="1"/>
          </c:dLbls>
          <c:cat>
            <c:strRef>
              <c:f>Hoja1!$A$2:$A$8</c:f>
              <c:strCache>
                <c:ptCount val="7"/>
                <c:pt idx="0">
                  <c:v>Dotación de colegios</c:v>
                </c:pt>
                <c:pt idx="1">
                  <c:v>Operación de colegios</c:v>
                </c:pt>
                <c:pt idx="2">
                  <c:v>Colegios nuevos en predios existentes</c:v>
                </c:pt>
                <c:pt idx="3">
                  <c:v>Colegios nuevos en predios nuevos</c:v>
                </c:pt>
                <c:pt idx="4">
                  <c:v>Ampliaciones o adecuaciones</c:v>
                </c:pt>
                <c:pt idx="5">
                  <c:v>Terminación colegios inconclusos </c:v>
                </c:pt>
                <c:pt idx="6">
                  <c:v>Construcción, adecuación y/o compra de jardines infantiles </c:v>
                </c:pt>
              </c:strCache>
            </c:strRef>
          </c:cat>
          <c:val>
            <c:numRef>
              <c:f>Hoja1!$B$2:$B$8</c:f>
              <c:numCache>
                <c:formatCode>General</c:formatCode>
                <c:ptCount val="7"/>
                <c:pt idx="0">
                  <c:v>7.55</c:v>
                </c:pt>
                <c:pt idx="1">
                  <c:v>35.82</c:v>
                </c:pt>
                <c:pt idx="2">
                  <c:v>18.66</c:v>
                </c:pt>
                <c:pt idx="3">
                  <c:v>10.78</c:v>
                </c:pt>
                <c:pt idx="4">
                  <c:v>5.8</c:v>
                </c:pt>
                <c:pt idx="5">
                  <c:v>5.13</c:v>
                </c:pt>
                <c:pt idx="6">
                  <c:v>15.96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047918489355494"/>
          <c:y val="0.18030339957505337"/>
          <c:w val="0.33563192621755655"/>
          <c:h val="0.78266716660417535"/>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7590360585464"/>
          <c:y val="0.15586927992696623"/>
          <c:w val="0.68886023622047698"/>
          <c:h val="0.5991826429305035"/>
        </c:manualLayout>
      </c:layout>
      <c:barChart>
        <c:barDir val="col"/>
        <c:grouping val="clustered"/>
        <c:varyColors val="0"/>
        <c:ser>
          <c:idx val="0"/>
          <c:order val="0"/>
          <c:tx>
            <c:strRef>
              <c:f>Hoja2!$B$3</c:f>
              <c:strCache>
                <c:ptCount val="1"/>
                <c:pt idx="0">
                  <c:v>Beneficiarios 2012</c:v>
                </c:pt>
              </c:strCache>
            </c:strRef>
          </c:tx>
          <c:spPr>
            <a:solidFill>
              <a:srgbClr val="FFFF99"/>
            </a:solidFill>
          </c:spPr>
          <c:invertIfNegative val="0"/>
          <c:dLbls>
            <c:dLbl>
              <c:idx val="0"/>
              <c:delete val="1"/>
            </c:dLbl>
            <c:dLbl>
              <c:idx val="1"/>
              <c:layout>
                <c:manualLayout>
                  <c:x val="-5.8823711049924864E-2"/>
                  <c:y val="1.4492753623188423E-2"/>
                </c:manualLayout>
              </c:layout>
              <c:dLblPos val="outEnd"/>
              <c:showLegendKey val="0"/>
              <c:showVal val="1"/>
              <c:showCatName val="0"/>
              <c:showSerName val="0"/>
              <c:showPercent val="0"/>
              <c:showBubbleSize val="0"/>
            </c:dLbl>
            <c:dLbl>
              <c:idx val="2"/>
              <c:layout>
                <c:manualLayout>
                  <c:x val="-2.2058819272267442E-2"/>
                  <c:y val="1.4492753623188423E-2"/>
                </c:manualLayout>
              </c:layout>
              <c:dLblPos val="outEnd"/>
              <c:showLegendKey val="0"/>
              <c:showVal val="1"/>
              <c:showCatName val="0"/>
              <c:showSerName val="0"/>
              <c:showPercent val="0"/>
              <c:showBubbleSize val="0"/>
            </c:dLbl>
            <c:dLbl>
              <c:idx val="3"/>
              <c:layout>
                <c:manualLayout>
                  <c:x val="-1.9607839353126648E-2"/>
                  <c:y val="1.8115942028985508E-2"/>
                </c:manualLayout>
              </c:layout>
              <c:dLblPos val="outEnd"/>
              <c:showLegendKey val="0"/>
              <c:showVal val="1"/>
              <c:showCatName val="0"/>
              <c:showSerName val="0"/>
              <c:showPercent val="0"/>
              <c:showBubbleSize val="0"/>
            </c:dLbl>
            <c:txPr>
              <a:bodyPr/>
              <a:lstStyle/>
              <a:p>
                <a:pPr>
                  <a:defRPr lang="es-ES" b="1"/>
                </a:pPr>
                <a:endParaRPr lang="es-ES"/>
              </a:p>
            </c:txPr>
            <c:showLegendKey val="0"/>
            <c:showVal val="1"/>
            <c:showCatName val="0"/>
            <c:showSerName val="0"/>
            <c:showPercent val="0"/>
            <c:showBubbleSize val="0"/>
            <c:showLeaderLines val="0"/>
          </c:dLbls>
          <c:cat>
            <c:strRef>
              <c:f>Hoja2!$A$4:$A$7</c:f>
              <c:strCache>
                <c:ptCount val="4"/>
                <c:pt idx="0">
                  <c:v>Bicicletas</c:v>
                </c:pt>
                <c:pt idx="1">
                  <c:v>Transporte Escolar</c:v>
                </c:pt>
                <c:pt idx="2">
                  <c:v>Ruta Escolar </c:v>
                </c:pt>
                <c:pt idx="3">
                  <c:v>Movilidad Escolar </c:v>
                </c:pt>
              </c:strCache>
            </c:strRef>
          </c:cat>
          <c:val>
            <c:numRef>
              <c:f>Hoja2!$B$4:$B$7</c:f>
              <c:numCache>
                <c:formatCode>#,##0</c:formatCode>
                <c:ptCount val="4"/>
                <c:pt idx="0">
                  <c:v>0</c:v>
                </c:pt>
                <c:pt idx="1">
                  <c:v>41105</c:v>
                </c:pt>
                <c:pt idx="2">
                  <c:v>31546</c:v>
                </c:pt>
                <c:pt idx="3">
                  <c:v>72651</c:v>
                </c:pt>
              </c:numCache>
            </c:numRef>
          </c:val>
        </c:ser>
        <c:ser>
          <c:idx val="1"/>
          <c:order val="1"/>
          <c:tx>
            <c:strRef>
              <c:f>Hoja2!$C$3</c:f>
              <c:strCache>
                <c:ptCount val="1"/>
                <c:pt idx="0">
                  <c:v>Beneficiarios 2016</c:v>
                </c:pt>
              </c:strCache>
            </c:strRef>
          </c:tx>
          <c:spPr>
            <a:solidFill>
              <a:schemeClr val="tx1"/>
            </a:solidFill>
          </c:spPr>
          <c:invertIfNegative val="0"/>
          <c:dLbls>
            <c:dLbl>
              <c:idx val="0"/>
              <c:layout>
                <c:manualLayout>
                  <c:x val="0"/>
                  <c:y val="-1.8115942028985508E-2"/>
                </c:manualLayout>
              </c:layout>
              <c:dLblPos val="outEnd"/>
              <c:showLegendKey val="0"/>
              <c:showVal val="1"/>
              <c:showCatName val="0"/>
              <c:showSerName val="0"/>
              <c:showPercent val="0"/>
              <c:showBubbleSize val="0"/>
            </c:dLbl>
            <c:dLbl>
              <c:idx val="1"/>
              <c:layout>
                <c:manualLayout>
                  <c:x val="7.3529411764705925E-3"/>
                  <c:y val="7.2463768115942377E-3"/>
                </c:manualLayout>
              </c:layout>
              <c:dLblPos val="outEnd"/>
              <c:showLegendKey val="0"/>
              <c:showVal val="1"/>
              <c:showCatName val="0"/>
              <c:showSerName val="0"/>
              <c:showPercent val="0"/>
              <c:showBubbleSize val="0"/>
            </c:dLbl>
            <c:dLbl>
              <c:idx val="2"/>
              <c:layout>
                <c:manualLayout>
                  <c:x val="0"/>
                  <c:y val="-2.1739130434782612E-2"/>
                </c:manualLayout>
              </c:layout>
              <c:dLblPos val="outEnd"/>
              <c:showLegendKey val="0"/>
              <c:showVal val="1"/>
              <c:showCatName val="0"/>
              <c:showSerName val="0"/>
              <c:showPercent val="0"/>
              <c:showBubbleSize val="0"/>
            </c:dLbl>
            <c:dLbl>
              <c:idx val="3"/>
              <c:layout>
                <c:manualLayout>
                  <c:x val="-2.4511733827389292E-3"/>
                  <c:y val="7.2463768115942377E-3"/>
                </c:manualLayout>
              </c:layout>
              <c:dLblPos val="outEnd"/>
              <c:showLegendKey val="0"/>
              <c:showVal val="1"/>
              <c:showCatName val="0"/>
              <c:showSerName val="0"/>
              <c:showPercent val="0"/>
              <c:showBubbleSize val="0"/>
            </c:dLbl>
            <c:txPr>
              <a:bodyPr/>
              <a:lstStyle/>
              <a:p>
                <a:pPr>
                  <a:defRPr lang="es-ES" b="1"/>
                </a:pPr>
                <a:endParaRPr lang="es-ES"/>
              </a:p>
            </c:txPr>
            <c:showLegendKey val="0"/>
            <c:showVal val="1"/>
            <c:showCatName val="0"/>
            <c:showSerName val="0"/>
            <c:showPercent val="0"/>
            <c:showBubbleSize val="0"/>
            <c:showLeaderLines val="0"/>
          </c:dLbls>
          <c:cat>
            <c:strRef>
              <c:f>Hoja2!$A$4:$A$7</c:f>
              <c:strCache>
                <c:ptCount val="4"/>
                <c:pt idx="0">
                  <c:v>Bicicletas</c:v>
                </c:pt>
                <c:pt idx="1">
                  <c:v>Transporte Escolar</c:v>
                </c:pt>
                <c:pt idx="2">
                  <c:v>Ruta Escolar </c:v>
                </c:pt>
                <c:pt idx="3">
                  <c:v>Movilidad Escolar </c:v>
                </c:pt>
              </c:strCache>
            </c:strRef>
          </c:cat>
          <c:val>
            <c:numRef>
              <c:f>Hoja2!$C$4:$C$7</c:f>
              <c:numCache>
                <c:formatCode>#,##0</c:formatCode>
                <c:ptCount val="4"/>
                <c:pt idx="0">
                  <c:v>5000</c:v>
                </c:pt>
                <c:pt idx="1">
                  <c:v>40000</c:v>
                </c:pt>
                <c:pt idx="2">
                  <c:v>45000</c:v>
                </c:pt>
                <c:pt idx="3">
                  <c:v>90000</c:v>
                </c:pt>
              </c:numCache>
            </c:numRef>
          </c:val>
        </c:ser>
        <c:dLbls>
          <c:showLegendKey val="0"/>
          <c:showVal val="0"/>
          <c:showCatName val="0"/>
          <c:showSerName val="0"/>
          <c:showPercent val="0"/>
          <c:showBubbleSize val="0"/>
        </c:dLbls>
        <c:gapWidth val="150"/>
        <c:axId val="251961856"/>
        <c:axId val="119528768"/>
      </c:barChart>
      <c:catAx>
        <c:axId val="251961856"/>
        <c:scaling>
          <c:orientation val="minMax"/>
        </c:scaling>
        <c:delete val="0"/>
        <c:axPos val="b"/>
        <c:numFmt formatCode="General" sourceLinked="1"/>
        <c:majorTickMark val="out"/>
        <c:minorTickMark val="none"/>
        <c:tickLblPos val="nextTo"/>
        <c:txPr>
          <a:bodyPr/>
          <a:lstStyle/>
          <a:p>
            <a:pPr>
              <a:defRPr lang="es-ES" sz="1050" b="1"/>
            </a:pPr>
            <a:endParaRPr lang="es-ES"/>
          </a:p>
        </c:txPr>
        <c:crossAx val="119528768"/>
        <c:crosses val="autoZero"/>
        <c:auto val="1"/>
        <c:lblAlgn val="ctr"/>
        <c:lblOffset val="100"/>
        <c:noMultiLvlLbl val="0"/>
      </c:catAx>
      <c:valAx>
        <c:axId val="119528768"/>
        <c:scaling>
          <c:orientation val="minMax"/>
        </c:scaling>
        <c:delete val="0"/>
        <c:axPos val="l"/>
        <c:majorGridlines/>
        <c:numFmt formatCode="#,##0" sourceLinked="1"/>
        <c:majorTickMark val="out"/>
        <c:minorTickMark val="none"/>
        <c:tickLblPos val="nextTo"/>
        <c:txPr>
          <a:bodyPr/>
          <a:lstStyle/>
          <a:p>
            <a:pPr>
              <a:defRPr lang="es-ES" sz="900" b="1"/>
            </a:pPr>
            <a:endParaRPr lang="es-ES"/>
          </a:p>
        </c:txPr>
        <c:crossAx val="251961856"/>
        <c:crosses val="autoZero"/>
        <c:crossBetween val="between"/>
      </c:valAx>
    </c:plotArea>
    <c:legend>
      <c:legendPos val="r"/>
      <c:layout>
        <c:manualLayout>
          <c:xMode val="edge"/>
          <c:yMode val="edge"/>
          <c:x val="0.23475104214914341"/>
          <c:y val="0.91274306744265654"/>
          <c:w val="0.58282962791415871"/>
          <c:h val="6.5818212940774043E-2"/>
        </c:manualLayout>
      </c:layout>
      <c:overlay val="0"/>
      <c:txPr>
        <a:bodyPr/>
        <a:lstStyle/>
        <a:p>
          <a:pPr>
            <a:defRPr lang="es-ES" sz="1050" b="1"/>
          </a:pPr>
          <a:endParaRPr lang="es-ES"/>
        </a:p>
      </c:txPr>
    </c:legend>
    <c:plotVisOnly val="1"/>
    <c:dispBlanksAs val="gap"/>
    <c:showDLblsOverMax val="0"/>
  </c:chart>
  <c:spPr>
    <a:solidFill>
      <a:schemeClr val="bg1">
        <a:lumMod val="85000"/>
      </a:schemeClr>
    </a:solidFill>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F165CB-3CFE-49D9-B6C0-B04F9DB4B81C}" type="doc">
      <dgm:prSet loTypeId="urn:microsoft.com/office/officeart/2005/8/layout/hierarchy1" loCatId="hierarchy" qsTypeId="urn:microsoft.com/office/officeart/2005/8/quickstyle/simple1" qsCatId="simple" csTypeId="urn:microsoft.com/office/officeart/2005/8/colors/accent1_3" csCatId="accent1" phldr="1"/>
      <dgm:spPr/>
      <dgm:t>
        <a:bodyPr/>
        <a:lstStyle/>
        <a:p>
          <a:endParaRPr lang="es-CO"/>
        </a:p>
      </dgm:t>
    </dgm:pt>
    <dgm:pt modelId="{A7CB5C50-3187-4680-BFBA-C60BCD037AFF}">
      <dgm:prSet phldrT="[Texto]" custT="1"/>
      <dgm:spPr/>
      <dgm:t>
        <a:bodyPr/>
        <a:lstStyle/>
        <a:p>
          <a:r>
            <a:rPr lang="es-CO" sz="900" b="1">
              <a:latin typeface="Times New Roman" pitchFamily="18" charset="0"/>
              <a:cs typeface="Times New Roman" pitchFamily="18" charset="0"/>
            </a:rPr>
            <a:t>Causa 1</a:t>
          </a:r>
          <a:r>
            <a:rPr lang="es-CO" sz="900">
              <a:latin typeface="Times New Roman" pitchFamily="18" charset="0"/>
              <a:cs typeface="Times New Roman" pitchFamily="18" charset="0"/>
            </a:rPr>
            <a:t> Bajo nivel de ingreso de la población, y </a:t>
          </a:r>
          <a:r>
            <a:rPr lang="es-CO" sz="900">
              <a:solidFill>
                <a:schemeClr val="tx1"/>
              </a:solidFill>
              <a:latin typeface="Times New Roman" pitchFamily="18" charset="0"/>
              <a:cs typeface="Times New Roman" pitchFamily="18" charset="0"/>
            </a:rPr>
            <a:t>dificultades para la permanencia</a:t>
          </a:r>
          <a:endParaRPr lang="es-CO" sz="900">
            <a:latin typeface="Times New Roman" pitchFamily="18" charset="0"/>
            <a:cs typeface="Times New Roman" pitchFamily="18" charset="0"/>
          </a:endParaRPr>
        </a:p>
      </dgm:t>
    </dgm:pt>
    <dgm:pt modelId="{7B0251BD-ED75-44DB-B7D5-8A20D0C9E0CB}" type="parTrans" cxnId="{D27D7478-2272-4780-A2FE-89FFF440178E}">
      <dgm:prSet/>
      <dgm:spPr/>
      <dgm:t>
        <a:bodyPr/>
        <a:lstStyle/>
        <a:p>
          <a:endParaRPr lang="es-CO" sz="900">
            <a:latin typeface="Times New Roman" pitchFamily="18" charset="0"/>
            <a:cs typeface="Times New Roman" pitchFamily="18" charset="0"/>
          </a:endParaRPr>
        </a:p>
      </dgm:t>
    </dgm:pt>
    <dgm:pt modelId="{6945AC92-2893-451F-A4D4-C60B1284A240}" type="sibTrans" cxnId="{D27D7478-2272-4780-A2FE-89FFF440178E}">
      <dgm:prSet/>
      <dgm:spPr/>
      <dgm:t>
        <a:bodyPr/>
        <a:lstStyle/>
        <a:p>
          <a:endParaRPr lang="es-CO" sz="900">
            <a:latin typeface="Times New Roman" pitchFamily="18" charset="0"/>
            <a:cs typeface="Times New Roman" pitchFamily="18" charset="0"/>
          </a:endParaRPr>
        </a:p>
      </dgm:t>
    </dgm:pt>
    <dgm:pt modelId="{D827F2F9-11A2-439F-9BB8-E3285FED73A2}">
      <dgm:prSet phldrT="[Texto]" custT="1"/>
      <dgm:spPr/>
      <dgm:t>
        <a:bodyPr/>
        <a:lstStyle/>
        <a:p>
          <a:r>
            <a:rPr lang="es-CO" sz="900" b="1">
              <a:latin typeface="Times New Roman" pitchFamily="18" charset="0"/>
              <a:cs typeface="Times New Roman" pitchFamily="18" charset="0"/>
            </a:rPr>
            <a:t>Causa 2 </a:t>
          </a:r>
          <a:r>
            <a:rPr lang="es-CO" sz="900">
              <a:latin typeface="Times New Roman" pitchFamily="18" charset="0"/>
              <a:cs typeface="Times New Roman" pitchFamily="18" charset="0"/>
            </a:rPr>
            <a:t>Servicio educativo con prácticas pedagógicas limitadas jornada insuficiente y currículo desarticulado</a:t>
          </a:r>
          <a:endParaRPr lang="es-CO" sz="900">
            <a:solidFill>
              <a:schemeClr val="tx1"/>
            </a:solidFill>
            <a:latin typeface="Times New Roman" pitchFamily="18" charset="0"/>
            <a:cs typeface="Times New Roman" pitchFamily="18" charset="0"/>
          </a:endParaRPr>
        </a:p>
      </dgm:t>
    </dgm:pt>
    <dgm:pt modelId="{AC737CB5-C5ED-4ABB-94F5-063FF055F932}" type="parTrans" cxnId="{64FD8E11-1598-401E-BAA6-B08734FF601C}">
      <dgm:prSet/>
      <dgm:spPr/>
      <dgm:t>
        <a:bodyPr/>
        <a:lstStyle/>
        <a:p>
          <a:endParaRPr lang="es-CO" sz="900">
            <a:latin typeface="Times New Roman" pitchFamily="18" charset="0"/>
            <a:cs typeface="Times New Roman" pitchFamily="18" charset="0"/>
          </a:endParaRPr>
        </a:p>
      </dgm:t>
    </dgm:pt>
    <dgm:pt modelId="{69C5D181-8ED1-4B10-AD1B-B56ABF59255B}" type="sibTrans" cxnId="{64FD8E11-1598-401E-BAA6-B08734FF601C}">
      <dgm:prSet/>
      <dgm:spPr/>
      <dgm:t>
        <a:bodyPr/>
        <a:lstStyle/>
        <a:p>
          <a:endParaRPr lang="es-CO" sz="900">
            <a:latin typeface="Times New Roman" pitchFamily="18" charset="0"/>
            <a:cs typeface="Times New Roman" pitchFamily="18" charset="0"/>
          </a:endParaRPr>
        </a:p>
      </dgm:t>
    </dgm:pt>
    <dgm:pt modelId="{08BE38F5-0A4B-4733-9497-E1F6EEF3E976}">
      <dgm:prSet phldrT="[Texto]" custT="1"/>
      <dgm:spPr/>
      <dgm:t>
        <a:bodyPr/>
        <a:lstStyle/>
        <a:p>
          <a:r>
            <a:rPr lang="es-CO" sz="900" b="1">
              <a:latin typeface="Times New Roman" pitchFamily="18" charset="0"/>
              <a:cs typeface="Times New Roman" pitchFamily="18" charset="0"/>
            </a:rPr>
            <a:t>Problema 2</a:t>
          </a:r>
          <a:r>
            <a:rPr lang="es-CO" sz="900">
              <a:latin typeface="Times New Roman" pitchFamily="18" charset="0"/>
              <a:cs typeface="Times New Roman" pitchFamily="18" charset="0"/>
            </a:rPr>
            <a:t> </a:t>
          </a:r>
        </a:p>
        <a:p>
          <a:r>
            <a:rPr lang="es-CO" sz="900">
              <a:latin typeface="Times New Roman" pitchFamily="18" charset="0"/>
              <a:cs typeface="Times New Roman" pitchFamily="18" charset="0"/>
            </a:rPr>
            <a:t>Insuficiente acceso y permanencia  de la población de menores ingresos</a:t>
          </a:r>
        </a:p>
      </dgm:t>
    </dgm:pt>
    <dgm:pt modelId="{D57643F8-8C10-4A3A-AE4D-6A1E4B63F078}" type="parTrans" cxnId="{50DC2FC6-8DD1-48A2-9CED-9EBCF761C3B1}">
      <dgm:prSet/>
      <dgm:spPr/>
      <dgm:t>
        <a:bodyPr/>
        <a:lstStyle/>
        <a:p>
          <a:endParaRPr lang="es-CO" sz="900">
            <a:latin typeface="Times New Roman" pitchFamily="18" charset="0"/>
            <a:cs typeface="Times New Roman" pitchFamily="18" charset="0"/>
          </a:endParaRPr>
        </a:p>
      </dgm:t>
    </dgm:pt>
    <dgm:pt modelId="{E8C28423-1F57-42E1-BE00-C109A5231ABB}" type="sibTrans" cxnId="{50DC2FC6-8DD1-48A2-9CED-9EBCF761C3B1}">
      <dgm:prSet/>
      <dgm:spPr/>
      <dgm:t>
        <a:bodyPr/>
        <a:lstStyle/>
        <a:p>
          <a:endParaRPr lang="es-CO" sz="900">
            <a:latin typeface="Times New Roman" pitchFamily="18" charset="0"/>
            <a:cs typeface="Times New Roman" pitchFamily="18" charset="0"/>
          </a:endParaRPr>
        </a:p>
      </dgm:t>
    </dgm:pt>
    <dgm:pt modelId="{B7C64FF3-4B38-4417-9C58-B1B3A3116E05}">
      <dgm:prSet phldrT="[Texto]" custT="1"/>
      <dgm:spPr/>
      <dgm:t>
        <a:bodyPr/>
        <a:lstStyle/>
        <a:p>
          <a:r>
            <a:rPr lang="es-CO" sz="900" b="1">
              <a:latin typeface="Times New Roman" pitchFamily="18" charset="0"/>
              <a:cs typeface="Times New Roman" pitchFamily="18" charset="0"/>
            </a:rPr>
            <a:t>Causa 3</a:t>
          </a:r>
          <a:r>
            <a:rPr lang="es-CO" sz="900">
              <a:latin typeface="Times New Roman" pitchFamily="18" charset="0"/>
              <a:cs typeface="Times New Roman" pitchFamily="18" charset="0"/>
            </a:rPr>
            <a:t> Educación media poco pertinente y desarticulada con educación superior</a:t>
          </a:r>
        </a:p>
      </dgm:t>
    </dgm:pt>
    <dgm:pt modelId="{546EF2B6-3A7A-4686-87E7-A846CFC19EC1}" type="parTrans" cxnId="{2A29CFBD-6B13-4DEB-A0EB-268F1F1E8EDD}">
      <dgm:prSet/>
      <dgm:spPr/>
      <dgm:t>
        <a:bodyPr/>
        <a:lstStyle/>
        <a:p>
          <a:endParaRPr lang="es-CO" sz="900">
            <a:latin typeface="Times New Roman" pitchFamily="18" charset="0"/>
            <a:cs typeface="Times New Roman" pitchFamily="18" charset="0"/>
          </a:endParaRPr>
        </a:p>
      </dgm:t>
    </dgm:pt>
    <dgm:pt modelId="{5A06BC23-1D38-410E-85B1-2ED7869EF0D6}" type="sibTrans" cxnId="{2A29CFBD-6B13-4DEB-A0EB-268F1F1E8EDD}">
      <dgm:prSet/>
      <dgm:spPr/>
      <dgm:t>
        <a:bodyPr/>
        <a:lstStyle/>
        <a:p>
          <a:endParaRPr lang="es-CO" sz="900">
            <a:latin typeface="Times New Roman" pitchFamily="18" charset="0"/>
            <a:cs typeface="Times New Roman" pitchFamily="18" charset="0"/>
          </a:endParaRPr>
        </a:p>
      </dgm:t>
    </dgm:pt>
    <dgm:pt modelId="{6553B1F1-89A0-4677-8FEA-3712ED37216E}">
      <dgm:prSet phldrT="[Texto]" custT="1"/>
      <dgm:spPr/>
      <dgm:t>
        <a:bodyPr/>
        <a:lstStyle/>
        <a:p>
          <a:r>
            <a:rPr lang="es-CO" sz="900" b="1">
              <a:latin typeface="Times New Roman" pitchFamily="18" charset="0"/>
              <a:cs typeface="Times New Roman" pitchFamily="18" charset="0"/>
            </a:rPr>
            <a:t>Causa 4 </a:t>
          </a:r>
          <a:r>
            <a:rPr lang="es-CO" sz="900">
              <a:latin typeface="Times New Roman" pitchFamily="18" charset="0"/>
              <a:cs typeface="Times New Roman" pitchFamily="18" charset="0"/>
            </a:rPr>
            <a:t>Debilidades del modelo de gestión entre niveles, precariedad de desconcentración y descentralización inadecuadas y falta claridad en seguimiento y evaluación</a:t>
          </a:r>
        </a:p>
      </dgm:t>
    </dgm:pt>
    <dgm:pt modelId="{B2881294-EB80-4D46-9592-8ACB35717DA0}" type="parTrans" cxnId="{714DF0B4-F4AE-4386-AF70-96834ED93C20}">
      <dgm:prSet/>
      <dgm:spPr/>
      <dgm:t>
        <a:bodyPr/>
        <a:lstStyle/>
        <a:p>
          <a:endParaRPr lang="es-CO" sz="900">
            <a:latin typeface="Times New Roman" pitchFamily="18" charset="0"/>
            <a:cs typeface="Times New Roman" pitchFamily="18" charset="0"/>
          </a:endParaRPr>
        </a:p>
      </dgm:t>
    </dgm:pt>
    <dgm:pt modelId="{F1397AFD-90B6-4487-8218-7D756A121CA4}" type="sibTrans" cxnId="{714DF0B4-F4AE-4386-AF70-96834ED93C20}">
      <dgm:prSet/>
      <dgm:spPr/>
      <dgm:t>
        <a:bodyPr/>
        <a:lstStyle/>
        <a:p>
          <a:endParaRPr lang="es-CO" sz="900">
            <a:latin typeface="Times New Roman" pitchFamily="18" charset="0"/>
            <a:cs typeface="Times New Roman" pitchFamily="18" charset="0"/>
          </a:endParaRPr>
        </a:p>
      </dgm:t>
    </dgm:pt>
    <dgm:pt modelId="{BCFE4280-90A1-4E5D-A3B7-AE18C62353DD}">
      <dgm:prSet phldrT="[Texto]" custT="1"/>
      <dgm:spPr/>
      <dgm:t>
        <a:bodyPr/>
        <a:lstStyle/>
        <a:p>
          <a:r>
            <a:rPr lang="es-CO" sz="900" b="1">
              <a:latin typeface="Times New Roman" pitchFamily="18" charset="0"/>
              <a:cs typeface="Times New Roman" pitchFamily="18" charset="0"/>
            </a:rPr>
            <a:t>Causa 5 </a:t>
          </a:r>
        </a:p>
        <a:p>
          <a:r>
            <a:rPr lang="es-CO" sz="900" b="0">
              <a:latin typeface="Times New Roman" pitchFamily="18" charset="0"/>
              <a:cs typeface="Times New Roman" pitchFamily="18" charset="0"/>
            </a:rPr>
            <a:t>Baja cobertura e integralidad en</a:t>
          </a:r>
          <a:r>
            <a:rPr lang="es-CO" sz="900" b="1">
              <a:latin typeface="Times New Roman" pitchFamily="18" charset="0"/>
              <a:cs typeface="Times New Roman" pitchFamily="18" charset="0"/>
            </a:rPr>
            <a:t> </a:t>
          </a:r>
          <a:r>
            <a:rPr lang="es-CO" sz="900">
              <a:latin typeface="Times New Roman" pitchFamily="18" charset="0"/>
              <a:cs typeface="Times New Roman" pitchFamily="18" charset="0"/>
            </a:rPr>
            <a:t>atención a la primera infancia</a:t>
          </a:r>
        </a:p>
      </dgm:t>
    </dgm:pt>
    <dgm:pt modelId="{AE6A22DE-EF8A-4AB3-B55A-17FC45F504CF}" type="parTrans" cxnId="{22F430D2-83D7-4BF9-9D1B-7A4C8A53AC8D}">
      <dgm:prSet/>
      <dgm:spPr/>
      <dgm:t>
        <a:bodyPr/>
        <a:lstStyle/>
        <a:p>
          <a:endParaRPr lang="es-CO" sz="900">
            <a:latin typeface="Times New Roman" pitchFamily="18" charset="0"/>
            <a:cs typeface="Times New Roman" pitchFamily="18" charset="0"/>
          </a:endParaRPr>
        </a:p>
      </dgm:t>
    </dgm:pt>
    <dgm:pt modelId="{CB7531C2-39FE-4648-A1CD-43D4C8FEE691}" type="sibTrans" cxnId="{22F430D2-83D7-4BF9-9D1B-7A4C8A53AC8D}">
      <dgm:prSet/>
      <dgm:spPr/>
      <dgm:t>
        <a:bodyPr/>
        <a:lstStyle/>
        <a:p>
          <a:endParaRPr lang="es-CO" sz="900">
            <a:latin typeface="Times New Roman" pitchFamily="18" charset="0"/>
            <a:cs typeface="Times New Roman" pitchFamily="18" charset="0"/>
          </a:endParaRPr>
        </a:p>
      </dgm:t>
    </dgm:pt>
    <dgm:pt modelId="{F045BFB1-D243-4BCD-888A-F325676DCBD9}">
      <dgm:prSet phldrT="[Texto]" custT="1"/>
      <dgm:spPr/>
      <dgm:t>
        <a:bodyPr/>
        <a:lstStyle/>
        <a:p>
          <a:r>
            <a:rPr lang="es-CO" sz="900" b="1">
              <a:latin typeface="Times New Roman" pitchFamily="18" charset="0"/>
              <a:cs typeface="Times New Roman" pitchFamily="18" charset="0"/>
            </a:rPr>
            <a:t>Problema  1</a:t>
          </a:r>
        </a:p>
        <a:p>
          <a:r>
            <a:rPr lang="es-CO" sz="900">
              <a:latin typeface="Times New Roman" pitchFamily="18" charset="0"/>
              <a:cs typeface="Times New Roman" pitchFamily="18" charset="0"/>
            </a:rPr>
            <a:t>Insuficientes conocimientos, habilidades y actitudes de la población, baja calidad del servicio educativo y elevada exclusión y desigualdades en las oportunidades educativas</a:t>
          </a:r>
        </a:p>
      </dgm:t>
    </dgm:pt>
    <dgm:pt modelId="{6DA07B44-6858-42D5-AD8F-F88FA33C58FE}" type="sibTrans" cxnId="{F6396F22-635F-4391-A1CB-F4214090D758}">
      <dgm:prSet/>
      <dgm:spPr/>
      <dgm:t>
        <a:bodyPr/>
        <a:lstStyle/>
        <a:p>
          <a:endParaRPr lang="es-CO" sz="900">
            <a:latin typeface="Times New Roman" pitchFamily="18" charset="0"/>
            <a:cs typeface="Times New Roman" pitchFamily="18" charset="0"/>
          </a:endParaRPr>
        </a:p>
      </dgm:t>
    </dgm:pt>
    <dgm:pt modelId="{E36C18B8-B7D0-498A-83A8-F267FF045768}" type="parTrans" cxnId="{F6396F22-635F-4391-A1CB-F4214090D758}">
      <dgm:prSet/>
      <dgm:spPr>
        <a:ln>
          <a:solidFill>
            <a:schemeClr val="bg1"/>
          </a:solidFill>
        </a:ln>
      </dgm:spPr>
      <dgm:t>
        <a:bodyPr/>
        <a:lstStyle/>
        <a:p>
          <a:endParaRPr lang="es-CO" sz="900">
            <a:latin typeface="Times New Roman" pitchFamily="18" charset="0"/>
            <a:cs typeface="Times New Roman" pitchFamily="18" charset="0"/>
          </a:endParaRPr>
        </a:p>
      </dgm:t>
    </dgm:pt>
    <dgm:pt modelId="{BB1E0A99-BF68-40DB-9625-0D5CE9011581}">
      <dgm:prSet phldrT="[Texto]" custT="1"/>
      <dgm:spPr/>
      <dgm:t>
        <a:bodyPr/>
        <a:lstStyle/>
        <a:p>
          <a:r>
            <a:rPr lang="es-CO" sz="900" b="1">
              <a:latin typeface="Times New Roman" pitchFamily="18" charset="0"/>
              <a:cs typeface="Times New Roman" pitchFamily="18" charset="0"/>
            </a:rPr>
            <a:t>Efecto 4 </a:t>
          </a:r>
          <a:r>
            <a:rPr lang="es-CO" sz="900">
              <a:latin typeface="Times New Roman" pitchFamily="18" charset="0"/>
              <a:cs typeface="Times New Roman" pitchFamily="18" charset="0"/>
            </a:rPr>
            <a:t>Ciudadanos  que no reconocen la diversidad</a:t>
          </a:r>
        </a:p>
      </dgm:t>
    </dgm:pt>
    <dgm:pt modelId="{616D8820-7986-4BEF-B438-32FD78FC2A23}" type="parTrans" cxnId="{F05D643A-BBB3-4B1A-84B3-29BA6A75E01C}">
      <dgm:prSet/>
      <dgm:spPr/>
      <dgm:t>
        <a:bodyPr/>
        <a:lstStyle/>
        <a:p>
          <a:endParaRPr lang="es-CO" sz="900">
            <a:latin typeface="Times New Roman" pitchFamily="18" charset="0"/>
            <a:cs typeface="Times New Roman" pitchFamily="18" charset="0"/>
          </a:endParaRPr>
        </a:p>
      </dgm:t>
    </dgm:pt>
    <dgm:pt modelId="{053893AE-E3A2-45F0-96EA-0A8B9E79886A}" type="sibTrans" cxnId="{F05D643A-BBB3-4B1A-84B3-29BA6A75E01C}">
      <dgm:prSet/>
      <dgm:spPr/>
      <dgm:t>
        <a:bodyPr/>
        <a:lstStyle/>
        <a:p>
          <a:endParaRPr lang="es-CO" sz="900">
            <a:latin typeface="Times New Roman" pitchFamily="18" charset="0"/>
            <a:cs typeface="Times New Roman" pitchFamily="18" charset="0"/>
          </a:endParaRPr>
        </a:p>
      </dgm:t>
    </dgm:pt>
    <dgm:pt modelId="{4152F9CE-B7F7-45E5-9FF7-4931570DF430}">
      <dgm:prSet phldrT="[Texto]" custT="1"/>
      <dgm:spPr/>
      <dgm:t>
        <a:bodyPr/>
        <a:lstStyle/>
        <a:p>
          <a:r>
            <a:rPr lang="es-CO" sz="900" b="1">
              <a:latin typeface="Times New Roman" pitchFamily="18" charset="0"/>
              <a:cs typeface="Times New Roman" pitchFamily="18" charset="0"/>
            </a:rPr>
            <a:t>Efecto 5</a:t>
          </a:r>
          <a:r>
            <a:rPr lang="es-CO" sz="900">
              <a:latin typeface="Times New Roman" pitchFamily="18" charset="0"/>
              <a:cs typeface="Times New Roman" pitchFamily="18" charset="0"/>
            </a:rPr>
            <a:t> Ciudadanos con acceso inequitativo a la educación superior y al mundo laboral</a:t>
          </a:r>
        </a:p>
      </dgm:t>
    </dgm:pt>
    <dgm:pt modelId="{3D5C11B0-0B0D-4E46-8E63-00AA30CD3122}" type="parTrans" cxnId="{5B9520A7-EC0A-46D4-8644-8C5C816E28A1}">
      <dgm:prSet/>
      <dgm:spPr/>
      <dgm:t>
        <a:bodyPr/>
        <a:lstStyle/>
        <a:p>
          <a:endParaRPr lang="es-CO" sz="900">
            <a:latin typeface="Times New Roman" pitchFamily="18" charset="0"/>
            <a:cs typeface="Times New Roman" pitchFamily="18" charset="0"/>
          </a:endParaRPr>
        </a:p>
      </dgm:t>
    </dgm:pt>
    <dgm:pt modelId="{1EAC61F2-A1EC-4ADA-9D62-80E571A2FE61}" type="sibTrans" cxnId="{5B9520A7-EC0A-46D4-8644-8C5C816E28A1}">
      <dgm:prSet/>
      <dgm:spPr/>
      <dgm:t>
        <a:bodyPr/>
        <a:lstStyle/>
        <a:p>
          <a:endParaRPr lang="es-CO" sz="900">
            <a:latin typeface="Times New Roman" pitchFamily="18" charset="0"/>
            <a:cs typeface="Times New Roman" pitchFamily="18" charset="0"/>
          </a:endParaRPr>
        </a:p>
      </dgm:t>
    </dgm:pt>
    <dgm:pt modelId="{028D6C63-E956-4153-9345-5851D22CC3B1}">
      <dgm:prSet phldrT="[Texto]" custT="1"/>
      <dgm:spPr/>
      <dgm:t>
        <a:bodyPr/>
        <a:lstStyle/>
        <a:p>
          <a:r>
            <a:rPr lang="es-CO" sz="900">
              <a:solidFill>
                <a:schemeClr val="tx1"/>
              </a:solidFill>
              <a:latin typeface="Times New Roman" pitchFamily="18" charset="0"/>
              <a:cs typeface="Times New Roman" pitchFamily="18" charset="0"/>
            </a:rPr>
            <a:t>1.1. Oferta oficial insuficiente 1.2. Infraestructura insuficiente 1.3. Incentivos en alimentación escolar, transporte, etc. insuficientes 1.4. Limitaciones en la gestión de la matrícula</a:t>
          </a:r>
        </a:p>
      </dgm:t>
    </dgm:pt>
    <dgm:pt modelId="{99FD3E56-BEB5-4E15-BA0E-3F450DC25C62}" type="parTrans" cxnId="{96727DC5-4BA2-4164-9835-C6E672BCD94A}">
      <dgm:prSet/>
      <dgm:spPr/>
      <dgm:t>
        <a:bodyPr/>
        <a:lstStyle/>
        <a:p>
          <a:endParaRPr lang="es-CO"/>
        </a:p>
      </dgm:t>
    </dgm:pt>
    <dgm:pt modelId="{07D3DEFA-064D-4AC8-B8F7-1225DFC91333}" type="sibTrans" cxnId="{96727DC5-4BA2-4164-9835-C6E672BCD94A}">
      <dgm:prSet/>
      <dgm:spPr/>
      <dgm:t>
        <a:bodyPr/>
        <a:lstStyle/>
        <a:p>
          <a:endParaRPr lang="es-CO"/>
        </a:p>
      </dgm:t>
    </dgm:pt>
    <dgm:pt modelId="{F02C0FBF-4708-4A67-AE3C-F6C080743308}">
      <dgm:prSet phldrT="[Texto]" custT="1"/>
      <dgm:spPr/>
      <dgm:t>
        <a:bodyPr/>
        <a:lstStyle/>
        <a:p>
          <a:r>
            <a:rPr lang="es-CO" sz="900">
              <a:solidFill>
                <a:schemeClr val="tx1"/>
              </a:solidFill>
              <a:latin typeface="Times New Roman" pitchFamily="18" charset="0"/>
              <a:cs typeface="Times New Roman" pitchFamily="18" charset="0"/>
            </a:rPr>
            <a:t>2.1. Docentes con deficientes condiciones laborales, motivacionales y enfoques pedagógicos tradicionales 2.2. Estrategias pedagógicas inadecuadas 2.3. Deficiencia en pedagogía y aprendizaje de convivencia y cuidadanía 2.4. Brecha digital y del componente de ciencia y tecnología 2.5. Inequidad en los tiempos de aprendizaje 2.6. Esquemas de evaluación precarios </a:t>
          </a:r>
        </a:p>
      </dgm:t>
    </dgm:pt>
    <dgm:pt modelId="{999E1538-1DEE-48C3-96C4-8A58B59EB2AE}" type="parTrans" cxnId="{2883D4B4-1DC9-4401-8979-5918394A24AF}">
      <dgm:prSet/>
      <dgm:spPr/>
      <dgm:t>
        <a:bodyPr/>
        <a:lstStyle/>
        <a:p>
          <a:endParaRPr lang="es-CO"/>
        </a:p>
      </dgm:t>
    </dgm:pt>
    <dgm:pt modelId="{0E419437-8E4C-4DFE-9C18-C9B580F3836C}" type="sibTrans" cxnId="{2883D4B4-1DC9-4401-8979-5918394A24AF}">
      <dgm:prSet/>
      <dgm:spPr/>
      <dgm:t>
        <a:bodyPr/>
        <a:lstStyle/>
        <a:p>
          <a:endParaRPr lang="es-CO"/>
        </a:p>
      </dgm:t>
    </dgm:pt>
    <dgm:pt modelId="{E47A4434-BA5D-419E-906A-307E2F0DB3A3}">
      <dgm:prSet phldrT="[Texto]" custT="1"/>
      <dgm:spPr/>
      <dgm:t>
        <a:bodyPr/>
        <a:lstStyle/>
        <a:p>
          <a:r>
            <a:rPr lang="es-CO" sz="900">
              <a:solidFill>
                <a:schemeClr val="tx1"/>
              </a:solidFill>
              <a:latin typeface="Times New Roman" pitchFamily="18" charset="0"/>
              <a:cs typeface="Times New Roman" pitchFamily="18" charset="0"/>
            </a:rPr>
            <a:t>3.1. Currículo inadecuado  3.2. Ruptura entre educación media y superior 3.3. Oferta pública insuficiente en educación superior y financiación inadecuada</a:t>
          </a:r>
        </a:p>
      </dgm:t>
    </dgm:pt>
    <dgm:pt modelId="{540256D9-ABE6-458D-9025-644E031B11D1}" type="parTrans" cxnId="{D18275DC-3901-4F4A-920B-956DB35AC991}">
      <dgm:prSet/>
      <dgm:spPr/>
      <dgm:t>
        <a:bodyPr/>
        <a:lstStyle/>
        <a:p>
          <a:endParaRPr lang="es-CO"/>
        </a:p>
      </dgm:t>
    </dgm:pt>
    <dgm:pt modelId="{D889A848-2606-4E3D-A100-79240B03D785}" type="sibTrans" cxnId="{D18275DC-3901-4F4A-920B-956DB35AC991}">
      <dgm:prSet/>
      <dgm:spPr/>
      <dgm:t>
        <a:bodyPr/>
        <a:lstStyle/>
        <a:p>
          <a:endParaRPr lang="es-CO"/>
        </a:p>
      </dgm:t>
    </dgm:pt>
    <dgm:pt modelId="{EE933312-13FE-43F9-9B98-969E9F106472}">
      <dgm:prSet phldrT="[Texto]" custT="1"/>
      <dgm:spPr/>
      <dgm:t>
        <a:bodyPr/>
        <a:lstStyle/>
        <a:p>
          <a:r>
            <a:rPr lang="es-CO" sz="900">
              <a:solidFill>
                <a:schemeClr val="tx1"/>
              </a:solidFill>
              <a:latin typeface="Times New Roman" pitchFamily="18" charset="0"/>
              <a:cs typeface="Times New Roman" pitchFamily="18" charset="0"/>
            </a:rPr>
            <a:t>4.1. Procesos de participación segmentados 4.2. Poco empoderamiento instituciones  4.3. Desarticulación con la gestión local 4.4. Debilidades en gestión del talento humano 4.5. Enfoque limitado de la comunicación</a:t>
          </a:r>
        </a:p>
        <a:p>
          <a:r>
            <a:rPr lang="es-CO" sz="900">
              <a:solidFill>
                <a:schemeClr val="tx1"/>
              </a:solidFill>
              <a:latin typeface="Times New Roman" pitchFamily="18" charset="0"/>
              <a:cs typeface="Times New Roman" pitchFamily="18" charset="0"/>
            </a:rPr>
            <a:t>4.6. Parámetros legales nacionales que limitan las políticas distritales</a:t>
          </a:r>
        </a:p>
      </dgm:t>
    </dgm:pt>
    <dgm:pt modelId="{0DAD968F-78B9-4408-8338-B8F95A15267D}" type="parTrans" cxnId="{7CF29C30-44B1-46A0-81F0-2C7FED00A7FF}">
      <dgm:prSet/>
      <dgm:spPr/>
      <dgm:t>
        <a:bodyPr/>
        <a:lstStyle/>
        <a:p>
          <a:endParaRPr lang="es-CO"/>
        </a:p>
      </dgm:t>
    </dgm:pt>
    <dgm:pt modelId="{6A1CD073-7E58-4444-B79A-DF422B547042}" type="sibTrans" cxnId="{7CF29C30-44B1-46A0-81F0-2C7FED00A7FF}">
      <dgm:prSet/>
      <dgm:spPr/>
      <dgm:t>
        <a:bodyPr/>
        <a:lstStyle/>
        <a:p>
          <a:endParaRPr lang="es-CO"/>
        </a:p>
      </dgm:t>
    </dgm:pt>
    <dgm:pt modelId="{DE974F22-0E0A-4A8D-BF68-64C8ADF81A5C}">
      <dgm:prSet phldrT="[Texto]" custT="1"/>
      <dgm:spPr/>
      <dgm:t>
        <a:bodyPr/>
        <a:lstStyle/>
        <a:p>
          <a:r>
            <a:rPr lang="es-CO" sz="900">
              <a:solidFill>
                <a:schemeClr val="tx1"/>
              </a:solidFill>
              <a:latin typeface="Times New Roman" pitchFamily="18" charset="0"/>
              <a:cs typeface="Times New Roman" pitchFamily="18" charset="0"/>
            </a:rPr>
            <a:t>5.1. Invisibilización de la problemática de la infancia 5.2. Reducida asignación presupuestal</a:t>
          </a:r>
        </a:p>
      </dgm:t>
    </dgm:pt>
    <dgm:pt modelId="{DC0C1B6C-5F36-4203-81A8-29F0B1985D43}" type="parTrans" cxnId="{EC5477CB-0B02-40B7-94EB-586E529191B9}">
      <dgm:prSet/>
      <dgm:spPr/>
      <dgm:t>
        <a:bodyPr/>
        <a:lstStyle/>
        <a:p>
          <a:endParaRPr lang="es-CO"/>
        </a:p>
      </dgm:t>
    </dgm:pt>
    <dgm:pt modelId="{A4D34D9D-C498-41A0-B0DD-CB6596EF7BF9}" type="sibTrans" cxnId="{EC5477CB-0B02-40B7-94EB-586E529191B9}">
      <dgm:prSet/>
      <dgm:spPr/>
      <dgm:t>
        <a:bodyPr/>
        <a:lstStyle/>
        <a:p>
          <a:endParaRPr lang="es-CO"/>
        </a:p>
      </dgm:t>
    </dgm:pt>
    <dgm:pt modelId="{E9774947-E429-404F-A95E-AA5098FB6458}">
      <dgm:prSet phldrT="[Texto]" custT="1"/>
      <dgm:spPr/>
      <dgm:t>
        <a:bodyPr/>
        <a:lstStyle/>
        <a:p>
          <a:r>
            <a:rPr lang="es-CO" sz="900" b="1">
              <a:latin typeface="Times New Roman" pitchFamily="18" charset="0"/>
              <a:cs typeface="Times New Roman" pitchFamily="18" charset="0"/>
            </a:rPr>
            <a:t>Efecto 3</a:t>
          </a:r>
          <a:r>
            <a:rPr lang="es-CO" sz="900">
              <a:latin typeface="Times New Roman" pitchFamily="18" charset="0"/>
              <a:cs typeface="Times New Roman" pitchFamily="18" charset="0"/>
            </a:rPr>
            <a:t> Ciudadanos que  no acceden a la cultura y al deporte</a:t>
          </a:r>
        </a:p>
      </dgm:t>
    </dgm:pt>
    <dgm:pt modelId="{EBBC122B-03D7-4297-806C-0BEDBE15EAD8}" type="sibTrans" cxnId="{07CB8952-C699-411C-BE74-B88E0A96D927}">
      <dgm:prSet/>
      <dgm:spPr/>
      <dgm:t>
        <a:bodyPr/>
        <a:lstStyle/>
        <a:p>
          <a:endParaRPr lang="es-CO" sz="900">
            <a:latin typeface="Times New Roman" pitchFamily="18" charset="0"/>
            <a:cs typeface="Times New Roman" pitchFamily="18" charset="0"/>
          </a:endParaRPr>
        </a:p>
      </dgm:t>
    </dgm:pt>
    <dgm:pt modelId="{045C849C-DF2F-41E5-B5B9-7618FE4917F6}" type="parTrans" cxnId="{07CB8952-C699-411C-BE74-B88E0A96D927}">
      <dgm:prSet/>
      <dgm:spPr/>
      <dgm:t>
        <a:bodyPr/>
        <a:lstStyle/>
        <a:p>
          <a:endParaRPr lang="es-CO" sz="900">
            <a:latin typeface="Times New Roman" pitchFamily="18" charset="0"/>
            <a:cs typeface="Times New Roman" pitchFamily="18" charset="0"/>
          </a:endParaRPr>
        </a:p>
      </dgm:t>
    </dgm:pt>
    <dgm:pt modelId="{4EAC3D97-5E05-41B8-916A-DB2C3D8FC544}">
      <dgm:prSet phldrT="[Texto]" custT="1"/>
      <dgm:spPr/>
      <dgm:t>
        <a:bodyPr/>
        <a:lstStyle/>
        <a:p>
          <a:r>
            <a:rPr lang="es-CO" sz="900" b="1">
              <a:latin typeface="Times New Roman" pitchFamily="18" charset="0"/>
              <a:cs typeface="Times New Roman" pitchFamily="18" charset="0"/>
            </a:rPr>
            <a:t>Efecto2 </a:t>
          </a:r>
          <a:r>
            <a:rPr lang="es-CO" sz="900">
              <a:latin typeface="Times New Roman" pitchFamily="18" charset="0"/>
              <a:cs typeface="Times New Roman" pitchFamily="18" charset="0"/>
            </a:rPr>
            <a:t>Ciudadanos con bajas capacidades de comprender el mundo</a:t>
          </a:r>
        </a:p>
      </dgm:t>
    </dgm:pt>
    <dgm:pt modelId="{E48FCB40-AD78-4FB2-8C86-C422EB1CB514}" type="sibTrans" cxnId="{B269D357-4B5E-4F69-8EA5-F228DAA8E691}">
      <dgm:prSet/>
      <dgm:spPr/>
      <dgm:t>
        <a:bodyPr/>
        <a:lstStyle/>
        <a:p>
          <a:endParaRPr lang="es-CO" sz="900">
            <a:latin typeface="Times New Roman" pitchFamily="18" charset="0"/>
            <a:cs typeface="Times New Roman" pitchFamily="18" charset="0"/>
          </a:endParaRPr>
        </a:p>
      </dgm:t>
    </dgm:pt>
    <dgm:pt modelId="{BA2A3ED8-E7D5-47F7-BB4D-E84110D7DE18}" type="parTrans" cxnId="{B269D357-4B5E-4F69-8EA5-F228DAA8E691}">
      <dgm:prSet/>
      <dgm:spPr/>
      <dgm:t>
        <a:bodyPr/>
        <a:lstStyle/>
        <a:p>
          <a:endParaRPr lang="es-CO" sz="900">
            <a:latin typeface="Times New Roman" pitchFamily="18" charset="0"/>
            <a:cs typeface="Times New Roman" pitchFamily="18" charset="0"/>
          </a:endParaRPr>
        </a:p>
      </dgm:t>
    </dgm:pt>
    <dgm:pt modelId="{089E1850-E621-4F27-8647-5977CA00C6B3}">
      <dgm:prSet phldrT="[Texto]" custT="1"/>
      <dgm:spPr/>
      <dgm:t>
        <a:bodyPr/>
        <a:lstStyle/>
        <a:p>
          <a:r>
            <a:rPr lang="es-CO" sz="900" b="1">
              <a:solidFill>
                <a:schemeClr val="tx1"/>
              </a:solidFill>
              <a:latin typeface="Times New Roman" pitchFamily="18" charset="0"/>
              <a:cs typeface="Times New Roman" pitchFamily="18" charset="0"/>
            </a:rPr>
            <a:t>Efecto 1</a:t>
          </a:r>
          <a:r>
            <a:rPr lang="es-CO" sz="900" b="1">
              <a:solidFill>
                <a:srgbClr val="FF0000"/>
              </a:solidFill>
              <a:latin typeface="Times New Roman" pitchFamily="18" charset="0"/>
              <a:cs typeface="Times New Roman" pitchFamily="18" charset="0"/>
            </a:rPr>
            <a:t> </a:t>
          </a:r>
          <a:r>
            <a:rPr lang="es-CO" sz="900">
              <a:solidFill>
                <a:schemeClr val="tx1"/>
              </a:solidFill>
              <a:latin typeface="Times New Roman" pitchFamily="18" charset="0"/>
              <a:cs typeface="Times New Roman" pitchFamily="18" charset="0"/>
            </a:rPr>
            <a:t>Ciudadanos sin excelencia académica</a:t>
          </a:r>
        </a:p>
      </dgm:t>
    </dgm:pt>
    <dgm:pt modelId="{98A55821-015D-4C1A-B0B7-E8AB7F2DDBAD}" type="sibTrans" cxnId="{5D630B91-48FA-47F6-A9F8-5C01E1FF21D7}">
      <dgm:prSet/>
      <dgm:spPr/>
      <dgm:t>
        <a:bodyPr/>
        <a:lstStyle/>
        <a:p>
          <a:endParaRPr lang="es-CO"/>
        </a:p>
      </dgm:t>
    </dgm:pt>
    <dgm:pt modelId="{A8BB4C9F-A93E-4F27-BDD8-4FFB95576B95}" type="parTrans" cxnId="{5D630B91-48FA-47F6-A9F8-5C01E1FF21D7}">
      <dgm:prSet/>
      <dgm:spPr/>
      <dgm:t>
        <a:bodyPr/>
        <a:lstStyle/>
        <a:p>
          <a:endParaRPr lang="es-CO"/>
        </a:p>
      </dgm:t>
    </dgm:pt>
    <dgm:pt modelId="{0CC29F46-450E-44AA-AAC1-823ABEE3F261}" type="pres">
      <dgm:prSet presAssocID="{FBF165CB-3CFE-49D9-B6C0-B04F9DB4B81C}" presName="hierChild1" presStyleCnt="0">
        <dgm:presLayoutVars>
          <dgm:chPref val="1"/>
          <dgm:dir/>
          <dgm:animOne val="branch"/>
          <dgm:animLvl val="lvl"/>
          <dgm:resizeHandles/>
        </dgm:presLayoutVars>
      </dgm:prSet>
      <dgm:spPr/>
      <dgm:t>
        <a:bodyPr/>
        <a:lstStyle/>
        <a:p>
          <a:endParaRPr lang="es-ES_tradnl"/>
        </a:p>
      </dgm:t>
    </dgm:pt>
    <dgm:pt modelId="{C1B14967-3733-45BE-8D39-7625A1F18634}" type="pres">
      <dgm:prSet presAssocID="{089E1850-E621-4F27-8647-5977CA00C6B3}" presName="hierRoot1" presStyleCnt="0"/>
      <dgm:spPr/>
    </dgm:pt>
    <dgm:pt modelId="{E111C621-CE64-4A34-9F42-CF20E5F4A327}" type="pres">
      <dgm:prSet presAssocID="{089E1850-E621-4F27-8647-5977CA00C6B3}" presName="composite" presStyleCnt="0"/>
      <dgm:spPr/>
    </dgm:pt>
    <dgm:pt modelId="{5BB14C80-ECD1-4E05-95F9-E02E4B673B36}" type="pres">
      <dgm:prSet presAssocID="{089E1850-E621-4F27-8647-5977CA00C6B3}" presName="background" presStyleLbl="node0" presStyleIdx="0" presStyleCnt="5"/>
      <dgm:spPr/>
    </dgm:pt>
    <dgm:pt modelId="{D2A8F488-5ED0-48C8-9436-10A4CCF2D4B9}" type="pres">
      <dgm:prSet presAssocID="{089E1850-E621-4F27-8647-5977CA00C6B3}" presName="text" presStyleLbl="fgAcc0" presStyleIdx="0" presStyleCnt="5" custLinFactNeighborX="19456" custLinFactNeighborY="-22128">
        <dgm:presLayoutVars>
          <dgm:chPref val="3"/>
        </dgm:presLayoutVars>
      </dgm:prSet>
      <dgm:spPr/>
      <dgm:t>
        <a:bodyPr/>
        <a:lstStyle/>
        <a:p>
          <a:endParaRPr lang="es-CO"/>
        </a:p>
      </dgm:t>
    </dgm:pt>
    <dgm:pt modelId="{3171B1C2-B3A5-4AE5-B362-2B24B0640367}" type="pres">
      <dgm:prSet presAssocID="{089E1850-E621-4F27-8647-5977CA00C6B3}" presName="hierChild2" presStyleCnt="0"/>
      <dgm:spPr/>
    </dgm:pt>
    <dgm:pt modelId="{B646BB8F-D391-4701-864B-4528EDBD4BA1}" type="pres">
      <dgm:prSet presAssocID="{4EAC3D97-5E05-41B8-916A-DB2C3D8FC544}" presName="hierRoot1" presStyleCnt="0"/>
      <dgm:spPr/>
    </dgm:pt>
    <dgm:pt modelId="{1694502D-58E8-45C4-A866-5458F7190A74}" type="pres">
      <dgm:prSet presAssocID="{4EAC3D97-5E05-41B8-916A-DB2C3D8FC544}" presName="composite" presStyleCnt="0"/>
      <dgm:spPr/>
    </dgm:pt>
    <dgm:pt modelId="{33162681-1399-472C-869F-A12391C295BF}" type="pres">
      <dgm:prSet presAssocID="{4EAC3D97-5E05-41B8-916A-DB2C3D8FC544}" presName="background" presStyleLbl="node0" presStyleIdx="1" presStyleCnt="5"/>
      <dgm:spPr/>
    </dgm:pt>
    <dgm:pt modelId="{6B3BA1B1-3614-4186-8C49-4BC26CC0171D}" type="pres">
      <dgm:prSet presAssocID="{4EAC3D97-5E05-41B8-916A-DB2C3D8FC544}" presName="text" presStyleLbl="fgAcc0" presStyleIdx="1" presStyleCnt="5" custScaleY="120206" custLinFactNeighborX="10499" custLinFactNeighborY="-32075">
        <dgm:presLayoutVars>
          <dgm:chPref val="3"/>
        </dgm:presLayoutVars>
      </dgm:prSet>
      <dgm:spPr/>
      <dgm:t>
        <a:bodyPr/>
        <a:lstStyle/>
        <a:p>
          <a:endParaRPr lang="es-CO"/>
        </a:p>
      </dgm:t>
    </dgm:pt>
    <dgm:pt modelId="{2D1358D5-F583-4868-B702-632336BC9D69}" type="pres">
      <dgm:prSet presAssocID="{4EAC3D97-5E05-41B8-916A-DB2C3D8FC544}" presName="hierChild2" presStyleCnt="0"/>
      <dgm:spPr/>
    </dgm:pt>
    <dgm:pt modelId="{5C49DE32-CFEB-4AAB-999D-1C58E8EE649E}" type="pres">
      <dgm:prSet presAssocID="{E9774947-E429-404F-A95E-AA5098FB6458}" presName="hierRoot1" presStyleCnt="0"/>
      <dgm:spPr/>
    </dgm:pt>
    <dgm:pt modelId="{0194E6EB-64C8-4C56-A9F6-634E915D493E}" type="pres">
      <dgm:prSet presAssocID="{E9774947-E429-404F-A95E-AA5098FB6458}" presName="composite" presStyleCnt="0"/>
      <dgm:spPr/>
    </dgm:pt>
    <dgm:pt modelId="{ED1A71E8-1E45-40CE-8FC3-7445FA401327}" type="pres">
      <dgm:prSet presAssocID="{E9774947-E429-404F-A95E-AA5098FB6458}" presName="background" presStyleLbl="node0" presStyleIdx="2" presStyleCnt="5"/>
      <dgm:spPr/>
    </dgm:pt>
    <dgm:pt modelId="{946243CE-6822-4846-8B79-9F6BE7398924}" type="pres">
      <dgm:prSet presAssocID="{E9774947-E429-404F-A95E-AA5098FB6458}" presName="text" presStyleLbl="fgAcc0" presStyleIdx="2" presStyleCnt="5" custLinFactNeighborX="3690" custLinFactNeighborY="-6495">
        <dgm:presLayoutVars>
          <dgm:chPref val="3"/>
        </dgm:presLayoutVars>
      </dgm:prSet>
      <dgm:spPr/>
      <dgm:t>
        <a:bodyPr/>
        <a:lstStyle/>
        <a:p>
          <a:endParaRPr lang="es-CO"/>
        </a:p>
      </dgm:t>
    </dgm:pt>
    <dgm:pt modelId="{CAC3C1BB-8E67-4A87-9799-22A334F879CE}" type="pres">
      <dgm:prSet presAssocID="{E9774947-E429-404F-A95E-AA5098FB6458}" presName="hierChild2" presStyleCnt="0"/>
      <dgm:spPr/>
    </dgm:pt>
    <dgm:pt modelId="{87739EFB-8BD4-4A12-AB85-420B957D0A10}" type="pres">
      <dgm:prSet presAssocID="{E36C18B8-B7D0-498A-83A8-F267FF045768}" presName="Name10" presStyleLbl="parChTrans1D2" presStyleIdx="0" presStyleCnt="1"/>
      <dgm:spPr/>
      <dgm:t>
        <a:bodyPr/>
        <a:lstStyle/>
        <a:p>
          <a:endParaRPr lang="es-ES_tradnl"/>
        </a:p>
      </dgm:t>
    </dgm:pt>
    <dgm:pt modelId="{FE043652-91C9-42DB-8224-8DCD0C24A1B2}" type="pres">
      <dgm:prSet presAssocID="{F045BFB1-D243-4BCD-888A-F325676DCBD9}" presName="hierRoot2" presStyleCnt="0"/>
      <dgm:spPr/>
    </dgm:pt>
    <dgm:pt modelId="{414A9814-07BD-4B2F-8552-9AA258A28EA8}" type="pres">
      <dgm:prSet presAssocID="{F045BFB1-D243-4BCD-888A-F325676DCBD9}" presName="composite2" presStyleCnt="0"/>
      <dgm:spPr/>
    </dgm:pt>
    <dgm:pt modelId="{658B89F7-B2EE-45F3-991B-F64868674945}" type="pres">
      <dgm:prSet presAssocID="{F045BFB1-D243-4BCD-888A-F325676DCBD9}" presName="background2" presStyleLbl="node2" presStyleIdx="0" presStyleCnt="1"/>
      <dgm:spPr/>
    </dgm:pt>
    <dgm:pt modelId="{79AB58A4-1A79-485F-A932-CD10ABEDAC18}" type="pres">
      <dgm:prSet presAssocID="{F045BFB1-D243-4BCD-888A-F325676DCBD9}" presName="text2" presStyleLbl="fgAcc2" presStyleIdx="0" presStyleCnt="1" custScaleX="261282" custScaleY="127895" custLinFactNeighborX="13551" custLinFactNeighborY="-19699">
        <dgm:presLayoutVars>
          <dgm:chPref val="3"/>
        </dgm:presLayoutVars>
      </dgm:prSet>
      <dgm:spPr/>
      <dgm:t>
        <a:bodyPr/>
        <a:lstStyle/>
        <a:p>
          <a:endParaRPr lang="es-CO"/>
        </a:p>
      </dgm:t>
    </dgm:pt>
    <dgm:pt modelId="{B269F60F-0710-4CA5-A190-581765F44729}" type="pres">
      <dgm:prSet presAssocID="{F045BFB1-D243-4BCD-888A-F325676DCBD9}" presName="hierChild3" presStyleCnt="0"/>
      <dgm:spPr/>
    </dgm:pt>
    <dgm:pt modelId="{9787E105-54A0-43F8-8929-DB25BA6D9678}" type="pres">
      <dgm:prSet presAssocID="{D57643F8-8C10-4A3A-AE4D-6A1E4B63F078}" presName="Name17" presStyleLbl="parChTrans1D3" presStyleIdx="0" presStyleCnt="1"/>
      <dgm:spPr/>
      <dgm:t>
        <a:bodyPr/>
        <a:lstStyle/>
        <a:p>
          <a:endParaRPr lang="es-ES_tradnl"/>
        </a:p>
      </dgm:t>
    </dgm:pt>
    <dgm:pt modelId="{D74887BA-D05E-41CA-A429-43AED62F2670}" type="pres">
      <dgm:prSet presAssocID="{08BE38F5-0A4B-4733-9497-E1F6EEF3E976}" presName="hierRoot3" presStyleCnt="0"/>
      <dgm:spPr/>
    </dgm:pt>
    <dgm:pt modelId="{AB6CE99D-AE8D-4C90-AA60-AB19EFDE598A}" type="pres">
      <dgm:prSet presAssocID="{08BE38F5-0A4B-4733-9497-E1F6EEF3E976}" presName="composite3" presStyleCnt="0"/>
      <dgm:spPr/>
    </dgm:pt>
    <dgm:pt modelId="{5EE83815-CB34-4FB9-8479-DC978933F703}" type="pres">
      <dgm:prSet presAssocID="{08BE38F5-0A4B-4733-9497-E1F6EEF3E976}" presName="background3" presStyleLbl="node3" presStyleIdx="0" presStyleCnt="1"/>
      <dgm:spPr/>
    </dgm:pt>
    <dgm:pt modelId="{87543E5A-8F84-423D-B500-2A0B279572E5}" type="pres">
      <dgm:prSet presAssocID="{08BE38F5-0A4B-4733-9497-E1F6EEF3E976}" presName="text3" presStyleLbl="fgAcc3" presStyleIdx="0" presStyleCnt="1" custScaleX="251569" custScaleY="121027" custLinFactNeighborX="13551" custLinFactNeighborY="-16710">
        <dgm:presLayoutVars>
          <dgm:chPref val="3"/>
        </dgm:presLayoutVars>
      </dgm:prSet>
      <dgm:spPr/>
      <dgm:t>
        <a:bodyPr/>
        <a:lstStyle/>
        <a:p>
          <a:endParaRPr lang="es-ES_tradnl"/>
        </a:p>
      </dgm:t>
    </dgm:pt>
    <dgm:pt modelId="{7DA0C6C9-FB34-473F-8D45-ACC6B8C30D4D}" type="pres">
      <dgm:prSet presAssocID="{08BE38F5-0A4B-4733-9497-E1F6EEF3E976}" presName="hierChild4" presStyleCnt="0"/>
      <dgm:spPr/>
    </dgm:pt>
    <dgm:pt modelId="{183BAE5F-DEEB-4EF4-84FC-113FD02B238D}" type="pres">
      <dgm:prSet presAssocID="{7B0251BD-ED75-44DB-B7D5-8A20D0C9E0CB}" presName="Name23" presStyleLbl="parChTrans1D4" presStyleIdx="0" presStyleCnt="10"/>
      <dgm:spPr/>
      <dgm:t>
        <a:bodyPr/>
        <a:lstStyle/>
        <a:p>
          <a:endParaRPr lang="es-ES_tradnl"/>
        </a:p>
      </dgm:t>
    </dgm:pt>
    <dgm:pt modelId="{4C17BFD0-4466-4061-8243-178D2168CCEA}" type="pres">
      <dgm:prSet presAssocID="{A7CB5C50-3187-4680-BFBA-C60BCD037AFF}" presName="hierRoot4" presStyleCnt="0"/>
      <dgm:spPr/>
    </dgm:pt>
    <dgm:pt modelId="{FE4195CB-54A6-44E0-9811-DE77EAA49B28}" type="pres">
      <dgm:prSet presAssocID="{A7CB5C50-3187-4680-BFBA-C60BCD037AFF}" presName="composite4" presStyleCnt="0"/>
      <dgm:spPr/>
    </dgm:pt>
    <dgm:pt modelId="{B5F30336-6C9C-4DB7-BB45-DC15294F33F3}" type="pres">
      <dgm:prSet presAssocID="{A7CB5C50-3187-4680-BFBA-C60BCD037AFF}" presName="background4" presStyleLbl="node4" presStyleIdx="0" presStyleCnt="10"/>
      <dgm:spPr/>
    </dgm:pt>
    <dgm:pt modelId="{30111A0B-BBBF-49C2-AC8C-F111EA032954}" type="pres">
      <dgm:prSet presAssocID="{A7CB5C50-3187-4680-BFBA-C60BCD037AFF}" presName="text4" presStyleLbl="fgAcc4" presStyleIdx="0" presStyleCnt="10" custScaleY="145825">
        <dgm:presLayoutVars>
          <dgm:chPref val="3"/>
        </dgm:presLayoutVars>
      </dgm:prSet>
      <dgm:spPr/>
      <dgm:t>
        <a:bodyPr/>
        <a:lstStyle/>
        <a:p>
          <a:endParaRPr lang="es-ES_tradnl"/>
        </a:p>
      </dgm:t>
    </dgm:pt>
    <dgm:pt modelId="{CB1FAD4A-AC4C-462D-B221-3DCC153CEA0E}" type="pres">
      <dgm:prSet presAssocID="{A7CB5C50-3187-4680-BFBA-C60BCD037AFF}" presName="hierChild5" presStyleCnt="0"/>
      <dgm:spPr/>
    </dgm:pt>
    <dgm:pt modelId="{BD53E40B-0DBF-4C57-8470-F597929498DC}" type="pres">
      <dgm:prSet presAssocID="{99FD3E56-BEB5-4E15-BA0E-3F450DC25C62}" presName="Name23" presStyleLbl="parChTrans1D4" presStyleIdx="1" presStyleCnt="10"/>
      <dgm:spPr/>
      <dgm:t>
        <a:bodyPr/>
        <a:lstStyle/>
        <a:p>
          <a:endParaRPr lang="es-CO"/>
        </a:p>
      </dgm:t>
    </dgm:pt>
    <dgm:pt modelId="{75D69CB0-4259-4DE1-B22E-C7F21A957C3A}" type="pres">
      <dgm:prSet presAssocID="{028D6C63-E956-4153-9345-5851D22CC3B1}" presName="hierRoot4" presStyleCnt="0"/>
      <dgm:spPr/>
    </dgm:pt>
    <dgm:pt modelId="{3326BDD4-96FA-407D-B0E0-30B6BA58F265}" type="pres">
      <dgm:prSet presAssocID="{028D6C63-E956-4153-9345-5851D22CC3B1}" presName="composite4" presStyleCnt="0"/>
      <dgm:spPr/>
    </dgm:pt>
    <dgm:pt modelId="{1F4E2523-0B26-4894-95D3-97AFF2D48FA9}" type="pres">
      <dgm:prSet presAssocID="{028D6C63-E956-4153-9345-5851D22CC3B1}" presName="background4" presStyleLbl="node4" presStyleIdx="1" presStyleCnt="10"/>
      <dgm:spPr/>
    </dgm:pt>
    <dgm:pt modelId="{52528D63-55E7-4DAF-A822-99165EA04A5C}" type="pres">
      <dgm:prSet presAssocID="{028D6C63-E956-4153-9345-5851D22CC3B1}" presName="text4" presStyleLbl="fgAcc4" presStyleIdx="1" presStyleCnt="10" custScaleY="302902">
        <dgm:presLayoutVars>
          <dgm:chPref val="3"/>
        </dgm:presLayoutVars>
      </dgm:prSet>
      <dgm:spPr/>
      <dgm:t>
        <a:bodyPr/>
        <a:lstStyle/>
        <a:p>
          <a:endParaRPr lang="es-CO"/>
        </a:p>
      </dgm:t>
    </dgm:pt>
    <dgm:pt modelId="{257721E3-5732-4D94-8DF7-4F8A1F7E07C8}" type="pres">
      <dgm:prSet presAssocID="{028D6C63-E956-4153-9345-5851D22CC3B1}" presName="hierChild5" presStyleCnt="0"/>
      <dgm:spPr/>
    </dgm:pt>
    <dgm:pt modelId="{ECD292D1-C580-4DBC-A05C-CC160B9D8C79}" type="pres">
      <dgm:prSet presAssocID="{AC737CB5-C5ED-4ABB-94F5-063FF055F932}" presName="Name23" presStyleLbl="parChTrans1D4" presStyleIdx="2" presStyleCnt="10"/>
      <dgm:spPr/>
      <dgm:t>
        <a:bodyPr/>
        <a:lstStyle/>
        <a:p>
          <a:endParaRPr lang="es-ES_tradnl"/>
        </a:p>
      </dgm:t>
    </dgm:pt>
    <dgm:pt modelId="{6C0880AF-589C-482A-B4EB-77EECCCCC0EF}" type="pres">
      <dgm:prSet presAssocID="{D827F2F9-11A2-439F-9BB8-E3285FED73A2}" presName="hierRoot4" presStyleCnt="0"/>
      <dgm:spPr/>
    </dgm:pt>
    <dgm:pt modelId="{646EB991-05D6-49CA-820D-CBA71EEE4454}" type="pres">
      <dgm:prSet presAssocID="{D827F2F9-11A2-439F-9BB8-E3285FED73A2}" presName="composite4" presStyleCnt="0"/>
      <dgm:spPr/>
    </dgm:pt>
    <dgm:pt modelId="{9237A020-0599-4812-B18D-942DDEC0B660}" type="pres">
      <dgm:prSet presAssocID="{D827F2F9-11A2-439F-9BB8-E3285FED73A2}" presName="background4" presStyleLbl="node4" presStyleIdx="2" presStyleCnt="10"/>
      <dgm:spPr/>
    </dgm:pt>
    <dgm:pt modelId="{EE2BB23D-37BD-4799-8500-3F1198EF4911}" type="pres">
      <dgm:prSet presAssocID="{D827F2F9-11A2-439F-9BB8-E3285FED73A2}" presName="text4" presStyleLbl="fgAcc4" presStyleIdx="2" presStyleCnt="10" custScaleY="214962">
        <dgm:presLayoutVars>
          <dgm:chPref val="3"/>
        </dgm:presLayoutVars>
      </dgm:prSet>
      <dgm:spPr/>
      <dgm:t>
        <a:bodyPr/>
        <a:lstStyle/>
        <a:p>
          <a:endParaRPr lang="es-ES_tradnl"/>
        </a:p>
      </dgm:t>
    </dgm:pt>
    <dgm:pt modelId="{C570A3D1-D484-41EC-BB2C-8C04E2A0E445}" type="pres">
      <dgm:prSet presAssocID="{D827F2F9-11A2-439F-9BB8-E3285FED73A2}" presName="hierChild5" presStyleCnt="0"/>
      <dgm:spPr/>
    </dgm:pt>
    <dgm:pt modelId="{77021B5C-7212-4F51-9F61-9C3BC027EB1A}" type="pres">
      <dgm:prSet presAssocID="{999E1538-1DEE-48C3-96C4-8A58B59EB2AE}" presName="Name23" presStyleLbl="parChTrans1D4" presStyleIdx="3" presStyleCnt="10"/>
      <dgm:spPr/>
      <dgm:t>
        <a:bodyPr/>
        <a:lstStyle/>
        <a:p>
          <a:endParaRPr lang="es-CO"/>
        </a:p>
      </dgm:t>
    </dgm:pt>
    <dgm:pt modelId="{A4F91803-BB68-4686-9B3A-A5BC9ED0FF40}" type="pres">
      <dgm:prSet presAssocID="{F02C0FBF-4708-4A67-AE3C-F6C080743308}" presName="hierRoot4" presStyleCnt="0"/>
      <dgm:spPr/>
    </dgm:pt>
    <dgm:pt modelId="{512A55EF-5559-455C-B734-6A100EB7B616}" type="pres">
      <dgm:prSet presAssocID="{F02C0FBF-4708-4A67-AE3C-F6C080743308}" presName="composite4" presStyleCnt="0"/>
      <dgm:spPr/>
    </dgm:pt>
    <dgm:pt modelId="{B264ED1A-FC48-4CC4-8122-28EBC2B79A59}" type="pres">
      <dgm:prSet presAssocID="{F02C0FBF-4708-4A67-AE3C-F6C080743308}" presName="background4" presStyleLbl="node4" presStyleIdx="3" presStyleCnt="10"/>
      <dgm:spPr/>
    </dgm:pt>
    <dgm:pt modelId="{5B064B70-C545-4B5F-A39C-0C8B03F27413}" type="pres">
      <dgm:prSet presAssocID="{F02C0FBF-4708-4A67-AE3C-F6C080743308}" presName="text4" presStyleLbl="fgAcc4" presStyleIdx="3" presStyleCnt="10" custScaleY="560583">
        <dgm:presLayoutVars>
          <dgm:chPref val="3"/>
        </dgm:presLayoutVars>
      </dgm:prSet>
      <dgm:spPr/>
      <dgm:t>
        <a:bodyPr/>
        <a:lstStyle/>
        <a:p>
          <a:endParaRPr lang="es-CO"/>
        </a:p>
      </dgm:t>
    </dgm:pt>
    <dgm:pt modelId="{9B870E11-492B-4B6C-9461-01669B760049}" type="pres">
      <dgm:prSet presAssocID="{F02C0FBF-4708-4A67-AE3C-F6C080743308}" presName="hierChild5" presStyleCnt="0"/>
      <dgm:spPr/>
    </dgm:pt>
    <dgm:pt modelId="{C1D19851-98E4-4F3C-9B41-2A5BFD89D655}" type="pres">
      <dgm:prSet presAssocID="{546EF2B6-3A7A-4686-87E7-A846CFC19EC1}" presName="Name23" presStyleLbl="parChTrans1D4" presStyleIdx="4" presStyleCnt="10"/>
      <dgm:spPr/>
      <dgm:t>
        <a:bodyPr/>
        <a:lstStyle/>
        <a:p>
          <a:endParaRPr lang="es-ES_tradnl"/>
        </a:p>
      </dgm:t>
    </dgm:pt>
    <dgm:pt modelId="{F2DBE1B4-B995-4444-848D-13FB262EE2B8}" type="pres">
      <dgm:prSet presAssocID="{B7C64FF3-4B38-4417-9C58-B1B3A3116E05}" presName="hierRoot4" presStyleCnt="0"/>
      <dgm:spPr/>
    </dgm:pt>
    <dgm:pt modelId="{FA6EFD84-CE02-4C6E-BD5F-97ED5DD27442}" type="pres">
      <dgm:prSet presAssocID="{B7C64FF3-4B38-4417-9C58-B1B3A3116E05}" presName="composite4" presStyleCnt="0"/>
      <dgm:spPr/>
    </dgm:pt>
    <dgm:pt modelId="{38422559-A297-4BF6-9765-56A6E46B525E}" type="pres">
      <dgm:prSet presAssocID="{B7C64FF3-4B38-4417-9C58-B1B3A3116E05}" presName="background4" presStyleLbl="node4" presStyleIdx="4" presStyleCnt="10"/>
      <dgm:spPr/>
    </dgm:pt>
    <dgm:pt modelId="{2422BC7A-F732-45C6-950D-77846A0D5081}" type="pres">
      <dgm:prSet presAssocID="{B7C64FF3-4B38-4417-9C58-B1B3A3116E05}" presName="text4" presStyleLbl="fgAcc4" presStyleIdx="4" presStyleCnt="10" custScaleY="160620">
        <dgm:presLayoutVars>
          <dgm:chPref val="3"/>
        </dgm:presLayoutVars>
      </dgm:prSet>
      <dgm:spPr/>
      <dgm:t>
        <a:bodyPr/>
        <a:lstStyle/>
        <a:p>
          <a:endParaRPr lang="es-CO"/>
        </a:p>
      </dgm:t>
    </dgm:pt>
    <dgm:pt modelId="{42E03779-060B-4668-B003-72889C683B25}" type="pres">
      <dgm:prSet presAssocID="{B7C64FF3-4B38-4417-9C58-B1B3A3116E05}" presName="hierChild5" presStyleCnt="0"/>
      <dgm:spPr/>
    </dgm:pt>
    <dgm:pt modelId="{E417EF48-ED54-40A6-8673-17065C319BDD}" type="pres">
      <dgm:prSet presAssocID="{540256D9-ABE6-458D-9025-644E031B11D1}" presName="Name23" presStyleLbl="parChTrans1D4" presStyleIdx="5" presStyleCnt="10"/>
      <dgm:spPr/>
      <dgm:t>
        <a:bodyPr/>
        <a:lstStyle/>
        <a:p>
          <a:endParaRPr lang="es-CO"/>
        </a:p>
      </dgm:t>
    </dgm:pt>
    <dgm:pt modelId="{18736040-5B95-4FFD-82AF-A2B2688F07CE}" type="pres">
      <dgm:prSet presAssocID="{E47A4434-BA5D-419E-906A-307E2F0DB3A3}" presName="hierRoot4" presStyleCnt="0"/>
      <dgm:spPr/>
    </dgm:pt>
    <dgm:pt modelId="{70A62964-BBB6-4C96-8389-010E4EF984E6}" type="pres">
      <dgm:prSet presAssocID="{E47A4434-BA5D-419E-906A-307E2F0DB3A3}" presName="composite4" presStyleCnt="0"/>
      <dgm:spPr/>
    </dgm:pt>
    <dgm:pt modelId="{D41DCA14-0F2D-4C65-AC1D-C8083C73C4EC}" type="pres">
      <dgm:prSet presAssocID="{E47A4434-BA5D-419E-906A-307E2F0DB3A3}" presName="background4" presStyleLbl="node4" presStyleIdx="5" presStyleCnt="10"/>
      <dgm:spPr/>
    </dgm:pt>
    <dgm:pt modelId="{A2C969E5-992E-4575-B6DC-FA15796D9926}" type="pres">
      <dgm:prSet presAssocID="{E47A4434-BA5D-419E-906A-307E2F0DB3A3}" presName="text4" presStyleLbl="fgAcc4" presStyleIdx="5" presStyleCnt="10" custScaleY="270217">
        <dgm:presLayoutVars>
          <dgm:chPref val="3"/>
        </dgm:presLayoutVars>
      </dgm:prSet>
      <dgm:spPr/>
      <dgm:t>
        <a:bodyPr/>
        <a:lstStyle/>
        <a:p>
          <a:endParaRPr lang="es-CO"/>
        </a:p>
      </dgm:t>
    </dgm:pt>
    <dgm:pt modelId="{938D8640-DCEF-4140-980D-551E37ABC319}" type="pres">
      <dgm:prSet presAssocID="{E47A4434-BA5D-419E-906A-307E2F0DB3A3}" presName="hierChild5" presStyleCnt="0"/>
      <dgm:spPr/>
    </dgm:pt>
    <dgm:pt modelId="{47C9DB39-E0C1-43E8-9552-02D83F557F92}" type="pres">
      <dgm:prSet presAssocID="{B2881294-EB80-4D46-9592-8ACB35717DA0}" presName="Name23" presStyleLbl="parChTrans1D4" presStyleIdx="6" presStyleCnt="10"/>
      <dgm:spPr/>
      <dgm:t>
        <a:bodyPr/>
        <a:lstStyle/>
        <a:p>
          <a:endParaRPr lang="es-ES_tradnl"/>
        </a:p>
      </dgm:t>
    </dgm:pt>
    <dgm:pt modelId="{ABCCA3E0-6412-40AC-B409-8A8519FDA6C2}" type="pres">
      <dgm:prSet presAssocID="{6553B1F1-89A0-4677-8FEA-3712ED37216E}" presName="hierRoot4" presStyleCnt="0"/>
      <dgm:spPr/>
    </dgm:pt>
    <dgm:pt modelId="{F53AE524-8BF6-488C-8753-40E784C4194C}" type="pres">
      <dgm:prSet presAssocID="{6553B1F1-89A0-4677-8FEA-3712ED37216E}" presName="composite4" presStyleCnt="0"/>
      <dgm:spPr/>
    </dgm:pt>
    <dgm:pt modelId="{AD07592E-D97D-4829-8629-CEC29D74EF6C}" type="pres">
      <dgm:prSet presAssocID="{6553B1F1-89A0-4677-8FEA-3712ED37216E}" presName="background4" presStyleLbl="node4" presStyleIdx="6" presStyleCnt="10"/>
      <dgm:spPr/>
    </dgm:pt>
    <dgm:pt modelId="{2D664A93-EC00-488B-9CDD-53907332DD1F}" type="pres">
      <dgm:prSet presAssocID="{6553B1F1-89A0-4677-8FEA-3712ED37216E}" presName="text4" presStyleLbl="fgAcc4" presStyleIdx="6" presStyleCnt="10" custScaleX="109887" custScaleY="274948">
        <dgm:presLayoutVars>
          <dgm:chPref val="3"/>
        </dgm:presLayoutVars>
      </dgm:prSet>
      <dgm:spPr/>
      <dgm:t>
        <a:bodyPr/>
        <a:lstStyle/>
        <a:p>
          <a:endParaRPr lang="es-CO"/>
        </a:p>
      </dgm:t>
    </dgm:pt>
    <dgm:pt modelId="{E59589FB-678F-42B9-886C-D877715ECF86}" type="pres">
      <dgm:prSet presAssocID="{6553B1F1-89A0-4677-8FEA-3712ED37216E}" presName="hierChild5" presStyleCnt="0"/>
      <dgm:spPr/>
    </dgm:pt>
    <dgm:pt modelId="{93FEA46C-6EFF-485B-9478-AD77C21D2553}" type="pres">
      <dgm:prSet presAssocID="{0DAD968F-78B9-4408-8338-B8F95A15267D}" presName="Name23" presStyleLbl="parChTrans1D4" presStyleIdx="7" presStyleCnt="10"/>
      <dgm:spPr/>
      <dgm:t>
        <a:bodyPr/>
        <a:lstStyle/>
        <a:p>
          <a:endParaRPr lang="es-CO"/>
        </a:p>
      </dgm:t>
    </dgm:pt>
    <dgm:pt modelId="{F5717F9A-EE8E-4CB2-BBD5-754E1833AD45}" type="pres">
      <dgm:prSet presAssocID="{EE933312-13FE-43F9-9B98-969E9F106472}" presName="hierRoot4" presStyleCnt="0"/>
      <dgm:spPr/>
    </dgm:pt>
    <dgm:pt modelId="{0F13A9A0-C248-4931-88EF-BEF44722D721}" type="pres">
      <dgm:prSet presAssocID="{EE933312-13FE-43F9-9B98-969E9F106472}" presName="composite4" presStyleCnt="0"/>
      <dgm:spPr/>
    </dgm:pt>
    <dgm:pt modelId="{07018779-EF86-4312-9209-65EEEE895ECA}" type="pres">
      <dgm:prSet presAssocID="{EE933312-13FE-43F9-9B98-969E9F106472}" presName="background4" presStyleLbl="node4" presStyleIdx="7" presStyleCnt="10"/>
      <dgm:spPr/>
    </dgm:pt>
    <dgm:pt modelId="{284CAA4B-93DA-4DB8-9E7C-B5C7E5EF76A9}" type="pres">
      <dgm:prSet presAssocID="{EE933312-13FE-43F9-9B98-969E9F106472}" presName="text4" presStyleLbl="fgAcc4" presStyleIdx="7" presStyleCnt="10" custScaleY="477132">
        <dgm:presLayoutVars>
          <dgm:chPref val="3"/>
        </dgm:presLayoutVars>
      </dgm:prSet>
      <dgm:spPr/>
      <dgm:t>
        <a:bodyPr/>
        <a:lstStyle/>
        <a:p>
          <a:endParaRPr lang="es-CO"/>
        </a:p>
      </dgm:t>
    </dgm:pt>
    <dgm:pt modelId="{2A72694F-22DB-4E20-ABB8-AE22ED9EAA08}" type="pres">
      <dgm:prSet presAssocID="{EE933312-13FE-43F9-9B98-969E9F106472}" presName="hierChild5" presStyleCnt="0"/>
      <dgm:spPr/>
    </dgm:pt>
    <dgm:pt modelId="{3796B078-6E74-4EEE-B247-7993CF4E45CA}" type="pres">
      <dgm:prSet presAssocID="{AE6A22DE-EF8A-4AB3-B55A-17FC45F504CF}" presName="Name23" presStyleLbl="parChTrans1D4" presStyleIdx="8" presStyleCnt="10"/>
      <dgm:spPr/>
      <dgm:t>
        <a:bodyPr/>
        <a:lstStyle/>
        <a:p>
          <a:endParaRPr lang="es-ES_tradnl"/>
        </a:p>
      </dgm:t>
    </dgm:pt>
    <dgm:pt modelId="{5AF735CB-367C-4021-AD1E-D29C98612452}" type="pres">
      <dgm:prSet presAssocID="{BCFE4280-90A1-4E5D-A3B7-AE18C62353DD}" presName="hierRoot4" presStyleCnt="0"/>
      <dgm:spPr/>
    </dgm:pt>
    <dgm:pt modelId="{4447E4B5-8B6E-40DA-AA0D-E3CCFEFC6502}" type="pres">
      <dgm:prSet presAssocID="{BCFE4280-90A1-4E5D-A3B7-AE18C62353DD}" presName="composite4" presStyleCnt="0"/>
      <dgm:spPr/>
    </dgm:pt>
    <dgm:pt modelId="{4E257C34-F005-4100-BF06-5EEA0A9BA2F2}" type="pres">
      <dgm:prSet presAssocID="{BCFE4280-90A1-4E5D-A3B7-AE18C62353DD}" presName="background4" presStyleLbl="node4" presStyleIdx="8" presStyleCnt="10"/>
      <dgm:spPr/>
    </dgm:pt>
    <dgm:pt modelId="{ED711DB1-B2B8-4A37-A9CA-EBC51CAFF9E5}" type="pres">
      <dgm:prSet presAssocID="{BCFE4280-90A1-4E5D-A3B7-AE18C62353DD}" presName="text4" presStyleLbl="fgAcc4" presStyleIdx="8" presStyleCnt="10">
        <dgm:presLayoutVars>
          <dgm:chPref val="3"/>
        </dgm:presLayoutVars>
      </dgm:prSet>
      <dgm:spPr/>
      <dgm:t>
        <a:bodyPr/>
        <a:lstStyle/>
        <a:p>
          <a:endParaRPr lang="es-CO"/>
        </a:p>
      </dgm:t>
    </dgm:pt>
    <dgm:pt modelId="{6B0A8D93-3754-4672-8C1B-C62CB1E28637}" type="pres">
      <dgm:prSet presAssocID="{BCFE4280-90A1-4E5D-A3B7-AE18C62353DD}" presName="hierChild5" presStyleCnt="0"/>
      <dgm:spPr/>
    </dgm:pt>
    <dgm:pt modelId="{0574FCA6-2B36-4963-A082-6D8FC7D410C5}" type="pres">
      <dgm:prSet presAssocID="{DC0C1B6C-5F36-4203-81A8-29F0B1985D43}" presName="Name23" presStyleLbl="parChTrans1D4" presStyleIdx="9" presStyleCnt="10"/>
      <dgm:spPr/>
      <dgm:t>
        <a:bodyPr/>
        <a:lstStyle/>
        <a:p>
          <a:endParaRPr lang="es-CO"/>
        </a:p>
      </dgm:t>
    </dgm:pt>
    <dgm:pt modelId="{72CB8BCB-0C83-4557-8FFE-608D52E54CFD}" type="pres">
      <dgm:prSet presAssocID="{DE974F22-0E0A-4A8D-BF68-64C8ADF81A5C}" presName="hierRoot4" presStyleCnt="0"/>
      <dgm:spPr/>
    </dgm:pt>
    <dgm:pt modelId="{803EBE40-1604-426F-A411-F585FC617B8A}" type="pres">
      <dgm:prSet presAssocID="{DE974F22-0E0A-4A8D-BF68-64C8ADF81A5C}" presName="composite4" presStyleCnt="0"/>
      <dgm:spPr/>
    </dgm:pt>
    <dgm:pt modelId="{04D22F82-6975-4324-AD97-0801D27EE764}" type="pres">
      <dgm:prSet presAssocID="{DE974F22-0E0A-4A8D-BF68-64C8ADF81A5C}" presName="background4" presStyleLbl="node4" presStyleIdx="9" presStyleCnt="10"/>
      <dgm:spPr/>
    </dgm:pt>
    <dgm:pt modelId="{590A875B-5F41-42C2-A7BF-8B2C31AC3F09}" type="pres">
      <dgm:prSet presAssocID="{DE974F22-0E0A-4A8D-BF68-64C8ADF81A5C}" presName="text4" presStyleLbl="fgAcc4" presStyleIdx="9" presStyleCnt="10" custScaleY="195322">
        <dgm:presLayoutVars>
          <dgm:chPref val="3"/>
        </dgm:presLayoutVars>
      </dgm:prSet>
      <dgm:spPr/>
      <dgm:t>
        <a:bodyPr/>
        <a:lstStyle/>
        <a:p>
          <a:endParaRPr lang="es-CO"/>
        </a:p>
      </dgm:t>
    </dgm:pt>
    <dgm:pt modelId="{5DAB9046-7031-4AA5-9CB3-0F45806C3197}" type="pres">
      <dgm:prSet presAssocID="{DE974F22-0E0A-4A8D-BF68-64C8ADF81A5C}" presName="hierChild5" presStyleCnt="0"/>
      <dgm:spPr/>
    </dgm:pt>
    <dgm:pt modelId="{0D9DE1A2-027D-4646-AE35-9504B97ED8D6}" type="pres">
      <dgm:prSet presAssocID="{BB1E0A99-BF68-40DB-9625-0D5CE9011581}" presName="hierRoot1" presStyleCnt="0"/>
      <dgm:spPr/>
    </dgm:pt>
    <dgm:pt modelId="{1AC9AC6C-11E9-4C55-B06E-EB90E4244A49}" type="pres">
      <dgm:prSet presAssocID="{BB1E0A99-BF68-40DB-9625-0D5CE9011581}" presName="composite" presStyleCnt="0"/>
      <dgm:spPr/>
    </dgm:pt>
    <dgm:pt modelId="{B851DCAC-7567-46E1-B169-DE463500901E}" type="pres">
      <dgm:prSet presAssocID="{BB1E0A99-BF68-40DB-9625-0D5CE9011581}" presName="background" presStyleLbl="node0" presStyleIdx="3" presStyleCnt="5"/>
      <dgm:spPr/>
    </dgm:pt>
    <dgm:pt modelId="{6ADE595A-84E4-44CF-93AD-5CA2028C83E8}" type="pres">
      <dgm:prSet presAssocID="{BB1E0A99-BF68-40DB-9625-0D5CE9011581}" presName="text" presStyleLbl="fgAcc0" presStyleIdx="3" presStyleCnt="5" custScaleX="117616" custScaleY="121027" custLinFactNeighborX="-89" custLinFactNeighborY="-23424">
        <dgm:presLayoutVars>
          <dgm:chPref val="3"/>
        </dgm:presLayoutVars>
      </dgm:prSet>
      <dgm:spPr/>
      <dgm:t>
        <a:bodyPr/>
        <a:lstStyle/>
        <a:p>
          <a:endParaRPr lang="es-ES_tradnl"/>
        </a:p>
      </dgm:t>
    </dgm:pt>
    <dgm:pt modelId="{40F1A2E0-B9FA-4603-A2C1-24A39030DBD2}" type="pres">
      <dgm:prSet presAssocID="{BB1E0A99-BF68-40DB-9625-0D5CE9011581}" presName="hierChild2" presStyleCnt="0"/>
      <dgm:spPr/>
    </dgm:pt>
    <dgm:pt modelId="{4DF0C315-69B5-4E5F-AC6F-1901F440DA76}" type="pres">
      <dgm:prSet presAssocID="{4152F9CE-B7F7-45E5-9FF7-4931570DF430}" presName="hierRoot1" presStyleCnt="0"/>
      <dgm:spPr/>
    </dgm:pt>
    <dgm:pt modelId="{482AAC59-89E2-4A8A-9EC6-C53B7278B2E3}" type="pres">
      <dgm:prSet presAssocID="{4152F9CE-B7F7-45E5-9FF7-4931570DF430}" presName="composite" presStyleCnt="0"/>
      <dgm:spPr/>
    </dgm:pt>
    <dgm:pt modelId="{37EECCC0-6E8C-4542-87C9-ADAC0EC25AAC}" type="pres">
      <dgm:prSet presAssocID="{4152F9CE-B7F7-45E5-9FF7-4931570DF430}" presName="background" presStyleLbl="node0" presStyleIdx="4" presStyleCnt="5"/>
      <dgm:spPr/>
    </dgm:pt>
    <dgm:pt modelId="{A01325B6-0489-4164-85EC-283DAF114C3E}" type="pres">
      <dgm:prSet presAssocID="{4152F9CE-B7F7-45E5-9FF7-4931570DF430}" presName="text" presStyleLbl="fgAcc0" presStyleIdx="4" presStyleCnt="5" custScaleY="151993" custLinFactNeighborX="-9070" custLinFactNeighborY="-16658">
        <dgm:presLayoutVars>
          <dgm:chPref val="3"/>
        </dgm:presLayoutVars>
      </dgm:prSet>
      <dgm:spPr/>
      <dgm:t>
        <a:bodyPr/>
        <a:lstStyle/>
        <a:p>
          <a:endParaRPr lang="es-ES_tradnl"/>
        </a:p>
      </dgm:t>
    </dgm:pt>
    <dgm:pt modelId="{599C2781-9035-452B-A8D8-78640EB42D7C}" type="pres">
      <dgm:prSet presAssocID="{4152F9CE-B7F7-45E5-9FF7-4931570DF430}" presName="hierChild2" presStyleCnt="0"/>
      <dgm:spPr/>
    </dgm:pt>
  </dgm:ptLst>
  <dgm:cxnLst>
    <dgm:cxn modelId="{D376D9AA-D4DE-48BD-8EC1-E523169C077D}" type="presOf" srcId="{DE974F22-0E0A-4A8D-BF68-64C8ADF81A5C}" destId="{590A875B-5F41-42C2-A7BF-8B2C31AC3F09}" srcOrd="0" destOrd="0" presId="urn:microsoft.com/office/officeart/2005/8/layout/hierarchy1"/>
    <dgm:cxn modelId="{EE09BAEE-B546-49E1-A7AE-D91F2337A8F4}" type="presOf" srcId="{028D6C63-E956-4153-9345-5851D22CC3B1}" destId="{52528D63-55E7-4DAF-A822-99165EA04A5C}" srcOrd="0" destOrd="0" presId="urn:microsoft.com/office/officeart/2005/8/layout/hierarchy1"/>
    <dgm:cxn modelId="{CC0EB820-169F-4EBB-B36A-39EBE2119DCE}" type="presOf" srcId="{4152F9CE-B7F7-45E5-9FF7-4931570DF430}" destId="{A01325B6-0489-4164-85EC-283DAF114C3E}" srcOrd="0" destOrd="0" presId="urn:microsoft.com/office/officeart/2005/8/layout/hierarchy1"/>
    <dgm:cxn modelId="{D3D61197-720D-4757-9D5B-4A7B0C6EB65E}" type="presOf" srcId="{99FD3E56-BEB5-4E15-BA0E-3F450DC25C62}" destId="{BD53E40B-0DBF-4C57-8470-F597929498DC}" srcOrd="0" destOrd="0" presId="urn:microsoft.com/office/officeart/2005/8/layout/hierarchy1"/>
    <dgm:cxn modelId="{BF0442EB-ACD1-4907-AF61-D2FB1F6B9636}" type="presOf" srcId="{A7CB5C50-3187-4680-BFBA-C60BCD037AFF}" destId="{30111A0B-BBBF-49C2-AC8C-F111EA032954}" srcOrd="0" destOrd="0" presId="urn:microsoft.com/office/officeart/2005/8/layout/hierarchy1"/>
    <dgm:cxn modelId="{2A29CFBD-6B13-4DEB-A0EB-268F1F1E8EDD}" srcId="{08BE38F5-0A4B-4733-9497-E1F6EEF3E976}" destId="{B7C64FF3-4B38-4417-9C58-B1B3A3116E05}" srcOrd="2" destOrd="0" parTransId="{546EF2B6-3A7A-4686-87E7-A846CFC19EC1}" sibTransId="{5A06BC23-1D38-410E-85B1-2ED7869EF0D6}"/>
    <dgm:cxn modelId="{50DC2FC6-8DD1-48A2-9CED-9EBCF761C3B1}" srcId="{F045BFB1-D243-4BCD-888A-F325676DCBD9}" destId="{08BE38F5-0A4B-4733-9497-E1F6EEF3E976}" srcOrd="0" destOrd="0" parTransId="{D57643F8-8C10-4A3A-AE4D-6A1E4B63F078}" sibTransId="{E8C28423-1F57-42E1-BE00-C109A5231ABB}"/>
    <dgm:cxn modelId="{D27D7478-2272-4780-A2FE-89FFF440178E}" srcId="{08BE38F5-0A4B-4733-9497-E1F6EEF3E976}" destId="{A7CB5C50-3187-4680-BFBA-C60BCD037AFF}" srcOrd="0" destOrd="0" parTransId="{7B0251BD-ED75-44DB-B7D5-8A20D0C9E0CB}" sibTransId="{6945AC92-2893-451F-A4D4-C60B1284A240}"/>
    <dgm:cxn modelId="{D18275DC-3901-4F4A-920B-956DB35AC991}" srcId="{B7C64FF3-4B38-4417-9C58-B1B3A3116E05}" destId="{E47A4434-BA5D-419E-906A-307E2F0DB3A3}" srcOrd="0" destOrd="0" parTransId="{540256D9-ABE6-458D-9025-644E031B11D1}" sibTransId="{D889A848-2606-4E3D-A100-79240B03D785}"/>
    <dgm:cxn modelId="{07CB8952-C699-411C-BE74-B88E0A96D927}" srcId="{FBF165CB-3CFE-49D9-B6C0-B04F9DB4B81C}" destId="{E9774947-E429-404F-A95E-AA5098FB6458}" srcOrd="2" destOrd="0" parTransId="{045C849C-DF2F-41E5-B5B9-7618FE4917F6}" sibTransId="{EBBC122B-03D7-4297-806C-0BEDBE15EAD8}"/>
    <dgm:cxn modelId="{14EC9DA9-9F6F-4D50-87C5-3C5157E9DC5D}" type="presOf" srcId="{4EAC3D97-5E05-41B8-916A-DB2C3D8FC544}" destId="{6B3BA1B1-3614-4186-8C49-4BC26CC0171D}" srcOrd="0" destOrd="0" presId="urn:microsoft.com/office/officeart/2005/8/layout/hierarchy1"/>
    <dgm:cxn modelId="{B269D357-4B5E-4F69-8EA5-F228DAA8E691}" srcId="{FBF165CB-3CFE-49D9-B6C0-B04F9DB4B81C}" destId="{4EAC3D97-5E05-41B8-916A-DB2C3D8FC544}" srcOrd="1" destOrd="0" parTransId="{BA2A3ED8-E7D5-47F7-BB4D-E84110D7DE18}" sibTransId="{E48FCB40-AD78-4FB2-8C86-C422EB1CB514}"/>
    <dgm:cxn modelId="{714DF0B4-F4AE-4386-AF70-96834ED93C20}" srcId="{08BE38F5-0A4B-4733-9497-E1F6EEF3E976}" destId="{6553B1F1-89A0-4677-8FEA-3712ED37216E}" srcOrd="3" destOrd="0" parTransId="{B2881294-EB80-4D46-9592-8ACB35717DA0}" sibTransId="{F1397AFD-90B6-4487-8218-7D756A121CA4}"/>
    <dgm:cxn modelId="{5D630B91-48FA-47F6-A9F8-5C01E1FF21D7}" srcId="{FBF165CB-3CFE-49D9-B6C0-B04F9DB4B81C}" destId="{089E1850-E621-4F27-8647-5977CA00C6B3}" srcOrd="0" destOrd="0" parTransId="{A8BB4C9F-A93E-4F27-BDD8-4FFB95576B95}" sibTransId="{98A55821-015D-4C1A-B0B7-E8AB7F2DDBAD}"/>
    <dgm:cxn modelId="{64FD8E11-1598-401E-BAA6-B08734FF601C}" srcId="{08BE38F5-0A4B-4733-9497-E1F6EEF3E976}" destId="{D827F2F9-11A2-439F-9BB8-E3285FED73A2}" srcOrd="1" destOrd="0" parTransId="{AC737CB5-C5ED-4ABB-94F5-063FF055F932}" sibTransId="{69C5D181-8ED1-4B10-AD1B-B56ABF59255B}"/>
    <dgm:cxn modelId="{22F430D2-83D7-4BF9-9D1B-7A4C8A53AC8D}" srcId="{08BE38F5-0A4B-4733-9497-E1F6EEF3E976}" destId="{BCFE4280-90A1-4E5D-A3B7-AE18C62353DD}" srcOrd="4" destOrd="0" parTransId="{AE6A22DE-EF8A-4AB3-B55A-17FC45F504CF}" sibTransId="{CB7531C2-39FE-4648-A1CD-43D4C8FEE691}"/>
    <dgm:cxn modelId="{F6396F22-635F-4391-A1CB-F4214090D758}" srcId="{E9774947-E429-404F-A95E-AA5098FB6458}" destId="{F045BFB1-D243-4BCD-888A-F325676DCBD9}" srcOrd="0" destOrd="0" parTransId="{E36C18B8-B7D0-498A-83A8-F267FF045768}" sibTransId="{6DA07B44-6858-42D5-AD8F-F88FA33C58FE}"/>
    <dgm:cxn modelId="{2C868324-C006-4CBC-AD8C-F1658623DF4D}" type="presOf" srcId="{D827F2F9-11A2-439F-9BB8-E3285FED73A2}" destId="{EE2BB23D-37BD-4799-8500-3F1198EF4911}" srcOrd="0" destOrd="0" presId="urn:microsoft.com/office/officeart/2005/8/layout/hierarchy1"/>
    <dgm:cxn modelId="{06F1BE64-C989-46BA-B319-CDD023D5F6E1}" type="presOf" srcId="{6553B1F1-89A0-4677-8FEA-3712ED37216E}" destId="{2D664A93-EC00-488B-9CDD-53907332DD1F}" srcOrd="0" destOrd="0" presId="urn:microsoft.com/office/officeart/2005/8/layout/hierarchy1"/>
    <dgm:cxn modelId="{B4D9B362-F5F7-42AE-83B1-50CA08C5622F}" type="presOf" srcId="{F02C0FBF-4708-4A67-AE3C-F6C080743308}" destId="{5B064B70-C545-4B5F-A39C-0C8B03F27413}" srcOrd="0" destOrd="0" presId="urn:microsoft.com/office/officeart/2005/8/layout/hierarchy1"/>
    <dgm:cxn modelId="{70942EF6-1DA6-4492-911E-957881C5AB0C}" type="presOf" srcId="{EE933312-13FE-43F9-9B98-969E9F106472}" destId="{284CAA4B-93DA-4DB8-9E7C-B5C7E5EF76A9}" srcOrd="0" destOrd="0" presId="urn:microsoft.com/office/officeart/2005/8/layout/hierarchy1"/>
    <dgm:cxn modelId="{96727DC5-4BA2-4164-9835-C6E672BCD94A}" srcId="{A7CB5C50-3187-4680-BFBA-C60BCD037AFF}" destId="{028D6C63-E956-4153-9345-5851D22CC3B1}" srcOrd="0" destOrd="0" parTransId="{99FD3E56-BEB5-4E15-BA0E-3F450DC25C62}" sibTransId="{07D3DEFA-064D-4AC8-B8F7-1225DFC91333}"/>
    <dgm:cxn modelId="{BD062278-15D0-4049-906D-ABCD463825A4}" type="presOf" srcId="{D57643F8-8C10-4A3A-AE4D-6A1E4B63F078}" destId="{9787E105-54A0-43F8-8929-DB25BA6D9678}" srcOrd="0" destOrd="0" presId="urn:microsoft.com/office/officeart/2005/8/layout/hierarchy1"/>
    <dgm:cxn modelId="{F69D7E53-6A25-450C-8B23-37A7B25C8108}" type="presOf" srcId="{0DAD968F-78B9-4408-8338-B8F95A15267D}" destId="{93FEA46C-6EFF-485B-9478-AD77C21D2553}" srcOrd="0" destOrd="0" presId="urn:microsoft.com/office/officeart/2005/8/layout/hierarchy1"/>
    <dgm:cxn modelId="{109D1122-24BC-4FD6-9420-5719EA127992}" type="presOf" srcId="{AE6A22DE-EF8A-4AB3-B55A-17FC45F504CF}" destId="{3796B078-6E74-4EEE-B247-7993CF4E45CA}" srcOrd="0" destOrd="0" presId="urn:microsoft.com/office/officeart/2005/8/layout/hierarchy1"/>
    <dgm:cxn modelId="{EC5477CB-0B02-40B7-94EB-586E529191B9}" srcId="{BCFE4280-90A1-4E5D-A3B7-AE18C62353DD}" destId="{DE974F22-0E0A-4A8D-BF68-64C8ADF81A5C}" srcOrd="0" destOrd="0" parTransId="{DC0C1B6C-5F36-4203-81A8-29F0B1985D43}" sibTransId="{A4D34D9D-C498-41A0-B0DD-CB6596EF7BF9}"/>
    <dgm:cxn modelId="{7CF29C30-44B1-46A0-81F0-2C7FED00A7FF}" srcId="{6553B1F1-89A0-4677-8FEA-3712ED37216E}" destId="{EE933312-13FE-43F9-9B98-969E9F106472}" srcOrd="0" destOrd="0" parTransId="{0DAD968F-78B9-4408-8338-B8F95A15267D}" sibTransId="{6A1CD073-7E58-4444-B79A-DF422B547042}"/>
    <dgm:cxn modelId="{E748A13D-E560-40B5-ABBA-47E16060EE96}" type="presOf" srcId="{F045BFB1-D243-4BCD-888A-F325676DCBD9}" destId="{79AB58A4-1A79-485F-A932-CD10ABEDAC18}" srcOrd="0" destOrd="0" presId="urn:microsoft.com/office/officeart/2005/8/layout/hierarchy1"/>
    <dgm:cxn modelId="{4F22ECB1-50B4-431A-A01F-B61DFE879BE2}" type="presOf" srcId="{BCFE4280-90A1-4E5D-A3B7-AE18C62353DD}" destId="{ED711DB1-B2B8-4A37-A9CA-EBC51CAFF9E5}" srcOrd="0" destOrd="0" presId="urn:microsoft.com/office/officeart/2005/8/layout/hierarchy1"/>
    <dgm:cxn modelId="{880F7A48-33BA-4A7D-ADA6-7061AE4C83F6}" type="presOf" srcId="{08BE38F5-0A4B-4733-9497-E1F6EEF3E976}" destId="{87543E5A-8F84-423D-B500-2A0B279572E5}" srcOrd="0" destOrd="0" presId="urn:microsoft.com/office/officeart/2005/8/layout/hierarchy1"/>
    <dgm:cxn modelId="{749093B8-11ED-4267-9336-D16973C7CD3E}" type="presOf" srcId="{E36C18B8-B7D0-498A-83A8-F267FF045768}" destId="{87739EFB-8BD4-4A12-AB85-420B957D0A10}" srcOrd="0" destOrd="0" presId="urn:microsoft.com/office/officeart/2005/8/layout/hierarchy1"/>
    <dgm:cxn modelId="{9F51CA98-B7C1-4BB6-B44B-7BFF891AE5CC}" type="presOf" srcId="{BB1E0A99-BF68-40DB-9625-0D5CE9011581}" destId="{6ADE595A-84E4-44CF-93AD-5CA2028C83E8}" srcOrd="0" destOrd="0" presId="urn:microsoft.com/office/officeart/2005/8/layout/hierarchy1"/>
    <dgm:cxn modelId="{464B1BF2-B83E-4D95-A1BB-5154A41F3656}" type="presOf" srcId="{DC0C1B6C-5F36-4203-81A8-29F0B1985D43}" destId="{0574FCA6-2B36-4963-A082-6D8FC7D410C5}" srcOrd="0" destOrd="0" presId="urn:microsoft.com/office/officeart/2005/8/layout/hierarchy1"/>
    <dgm:cxn modelId="{445687B4-7C1F-4154-8ED9-7288329C5545}" type="presOf" srcId="{7B0251BD-ED75-44DB-B7D5-8A20D0C9E0CB}" destId="{183BAE5F-DEEB-4EF4-84FC-113FD02B238D}" srcOrd="0" destOrd="0" presId="urn:microsoft.com/office/officeart/2005/8/layout/hierarchy1"/>
    <dgm:cxn modelId="{3D9BA0F6-EC75-476B-9ED7-EEE4D81AE58C}" type="presOf" srcId="{B2881294-EB80-4D46-9592-8ACB35717DA0}" destId="{47C9DB39-E0C1-43E8-9552-02D83F557F92}" srcOrd="0" destOrd="0" presId="urn:microsoft.com/office/officeart/2005/8/layout/hierarchy1"/>
    <dgm:cxn modelId="{D74E0D6B-B2CD-4014-A801-793280C7F221}" type="presOf" srcId="{FBF165CB-3CFE-49D9-B6C0-B04F9DB4B81C}" destId="{0CC29F46-450E-44AA-AAC1-823ABEE3F261}" srcOrd="0" destOrd="0" presId="urn:microsoft.com/office/officeart/2005/8/layout/hierarchy1"/>
    <dgm:cxn modelId="{A6CEFF86-D199-4863-A0D2-BC59C6CEE309}" type="presOf" srcId="{B7C64FF3-4B38-4417-9C58-B1B3A3116E05}" destId="{2422BC7A-F732-45C6-950D-77846A0D5081}" srcOrd="0" destOrd="0" presId="urn:microsoft.com/office/officeart/2005/8/layout/hierarchy1"/>
    <dgm:cxn modelId="{299D2B7C-6265-47B1-9E10-7916AE1CD6EB}" type="presOf" srcId="{999E1538-1DEE-48C3-96C4-8A58B59EB2AE}" destId="{77021B5C-7212-4F51-9F61-9C3BC027EB1A}" srcOrd="0" destOrd="0" presId="urn:microsoft.com/office/officeart/2005/8/layout/hierarchy1"/>
    <dgm:cxn modelId="{A8322BF7-0FA0-457F-900B-F768E45238FA}" type="presOf" srcId="{089E1850-E621-4F27-8647-5977CA00C6B3}" destId="{D2A8F488-5ED0-48C8-9436-10A4CCF2D4B9}" srcOrd="0" destOrd="0" presId="urn:microsoft.com/office/officeart/2005/8/layout/hierarchy1"/>
    <dgm:cxn modelId="{EBC6CEB4-C0BC-4710-9EF2-47D6DE6AA75A}" type="presOf" srcId="{AC737CB5-C5ED-4ABB-94F5-063FF055F932}" destId="{ECD292D1-C580-4DBC-A05C-CC160B9D8C79}" srcOrd="0" destOrd="0" presId="urn:microsoft.com/office/officeart/2005/8/layout/hierarchy1"/>
    <dgm:cxn modelId="{5B9520A7-EC0A-46D4-8644-8C5C816E28A1}" srcId="{FBF165CB-3CFE-49D9-B6C0-B04F9DB4B81C}" destId="{4152F9CE-B7F7-45E5-9FF7-4931570DF430}" srcOrd="4" destOrd="0" parTransId="{3D5C11B0-0B0D-4E46-8E63-00AA30CD3122}" sibTransId="{1EAC61F2-A1EC-4ADA-9D62-80E571A2FE61}"/>
    <dgm:cxn modelId="{5D22A701-4E5D-45F3-B5E3-C8EED97635EB}" type="presOf" srcId="{E9774947-E429-404F-A95E-AA5098FB6458}" destId="{946243CE-6822-4846-8B79-9F6BE7398924}" srcOrd="0" destOrd="0" presId="urn:microsoft.com/office/officeart/2005/8/layout/hierarchy1"/>
    <dgm:cxn modelId="{F05D643A-BBB3-4B1A-84B3-29BA6A75E01C}" srcId="{FBF165CB-3CFE-49D9-B6C0-B04F9DB4B81C}" destId="{BB1E0A99-BF68-40DB-9625-0D5CE9011581}" srcOrd="3" destOrd="0" parTransId="{616D8820-7986-4BEF-B438-32FD78FC2A23}" sibTransId="{053893AE-E3A2-45F0-96EA-0A8B9E79886A}"/>
    <dgm:cxn modelId="{2515DDE7-1FAD-4560-9C40-1468F0536D29}" type="presOf" srcId="{540256D9-ABE6-458D-9025-644E031B11D1}" destId="{E417EF48-ED54-40A6-8673-17065C319BDD}" srcOrd="0" destOrd="0" presId="urn:microsoft.com/office/officeart/2005/8/layout/hierarchy1"/>
    <dgm:cxn modelId="{7EAEDB13-2EDA-4EA1-9BA1-17220A6D770C}" type="presOf" srcId="{E47A4434-BA5D-419E-906A-307E2F0DB3A3}" destId="{A2C969E5-992E-4575-B6DC-FA15796D9926}" srcOrd="0" destOrd="0" presId="urn:microsoft.com/office/officeart/2005/8/layout/hierarchy1"/>
    <dgm:cxn modelId="{1F04292B-4160-4B71-B831-39378D52BC9D}" type="presOf" srcId="{546EF2B6-3A7A-4686-87E7-A846CFC19EC1}" destId="{C1D19851-98E4-4F3C-9B41-2A5BFD89D655}" srcOrd="0" destOrd="0" presId="urn:microsoft.com/office/officeart/2005/8/layout/hierarchy1"/>
    <dgm:cxn modelId="{2883D4B4-1DC9-4401-8979-5918394A24AF}" srcId="{D827F2F9-11A2-439F-9BB8-E3285FED73A2}" destId="{F02C0FBF-4708-4A67-AE3C-F6C080743308}" srcOrd="0" destOrd="0" parTransId="{999E1538-1DEE-48C3-96C4-8A58B59EB2AE}" sibTransId="{0E419437-8E4C-4DFE-9C18-C9B580F3836C}"/>
    <dgm:cxn modelId="{EF6E3B93-EC8F-4B62-847D-627A89E3E933}" type="presParOf" srcId="{0CC29F46-450E-44AA-AAC1-823ABEE3F261}" destId="{C1B14967-3733-45BE-8D39-7625A1F18634}" srcOrd="0" destOrd="0" presId="urn:microsoft.com/office/officeart/2005/8/layout/hierarchy1"/>
    <dgm:cxn modelId="{A46FDE0E-89D5-4465-9677-593B2740FB5F}" type="presParOf" srcId="{C1B14967-3733-45BE-8D39-7625A1F18634}" destId="{E111C621-CE64-4A34-9F42-CF20E5F4A327}" srcOrd="0" destOrd="0" presId="urn:microsoft.com/office/officeart/2005/8/layout/hierarchy1"/>
    <dgm:cxn modelId="{91BCBAD1-389E-47A7-91C5-D12403F397C6}" type="presParOf" srcId="{E111C621-CE64-4A34-9F42-CF20E5F4A327}" destId="{5BB14C80-ECD1-4E05-95F9-E02E4B673B36}" srcOrd="0" destOrd="0" presId="urn:microsoft.com/office/officeart/2005/8/layout/hierarchy1"/>
    <dgm:cxn modelId="{A67E3C5B-9E10-4DA9-AE46-75895C4DF598}" type="presParOf" srcId="{E111C621-CE64-4A34-9F42-CF20E5F4A327}" destId="{D2A8F488-5ED0-48C8-9436-10A4CCF2D4B9}" srcOrd="1" destOrd="0" presId="urn:microsoft.com/office/officeart/2005/8/layout/hierarchy1"/>
    <dgm:cxn modelId="{5205F4A8-129C-4070-956B-CA04F0FA8F79}" type="presParOf" srcId="{C1B14967-3733-45BE-8D39-7625A1F18634}" destId="{3171B1C2-B3A5-4AE5-B362-2B24B0640367}" srcOrd="1" destOrd="0" presId="urn:microsoft.com/office/officeart/2005/8/layout/hierarchy1"/>
    <dgm:cxn modelId="{757FBFA0-7CE6-4E6B-B40D-E4F870078BEF}" type="presParOf" srcId="{0CC29F46-450E-44AA-AAC1-823ABEE3F261}" destId="{B646BB8F-D391-4701-864B-4528EDBD4BA1}" srcOrd="1" destOrd="0" presId="urn:microsoft.com/office/officeart/2005/8/layout/hierarchy1"/>
    <dgm:cxn modelId="{C5D0A51F-384F-4513-AF27-CB4B8A89D775}" type="presParOf" srcId="{B646BB8F-D391-4701-864B-4528EDBD4BA1}" destId="{1694502D-58E8-45C4-A866-5458F7190A74}" srcOrd="0" destOrd="0" presId="urn:microsoft.com/office/officeart/2005/8/layout/hierarchy1"/>
    <dgm:cxn modelId="{94613F3D-B9C0-4987-88A3-FC57C8D1B3E6}" type="presParOf" srcId="{1694502D-58E8-45C4-A866-5458F7190A74}" destId="{33162681-1399-472C-869F-A12391C295BF}" srcOrd="0" destOrd="0" presId="urn:microsoft.com/office/officeart/2005/8/layout/hierarchy1"/>
    <dgm:cxn modelId="{FD69BDD7-7E08-4502-BB3E-851FF939C366}" type="presParOf" srcId="{1694502D-58E8-45C4-A866-5458F7190A74}" destId="{6B3BA1B1-3614-4186-8C49-4BC26CC0171D}" srcOrd="1" destOrd="0" presId="urn:microsoft.com/office/officeart/2005/8/layout/hierarchy1"/>
    <dgm:cxn modelId="{95E0A242-E588-418B-88D0-82361A395885}" type="presParOf" srcId="{B646BB8F-D391-4701-864B-4528EDBD4BA1}" destId="{2D1358D5-F583-4868-B702-632336BC9D69}" srcOrd="1" destOrd="0" presId="urn:microsoft.com/office/officeart/2005/8/layout/hierarchy1"/>
    <dgm:cxn modelId="{713F8719-97F9-4070-8121-8D26C3A9279C}" type="presParOf" srcId="{0CC29F46-450E-44AA-AAC1-823ABEE3F261}" destId="{5C49DE32-CFEB-4AAB-999D-1C58E8EE649E}" srcOrd="2" destOrd="0" presId="urn:microsoft.com/office/officeart/2005/8/layout/hierarchy1"/>
    <dgm:cxn modelId="{4CAC1867-0E62-4C85-814C-0A12DBDC6100}" type="presParOf" srcId="{5C49DE32-CFEB-4AAB-999D-1C58E8EE649E}" destId="{0194E6EB-64C8-4C56-A9F6-634E915D493E}" srcOrd="0" destOrd="0" presId="urn:microsoft.com/office/officeart/2005/8/layout/hierarchy1"/>
    <dgm:cxn modelId="{CDD1D642-CD24-4ED4-AB95-D1CAAF35CA05}" type="presParOf" srcId="{0194E6EB-64C8-4C56-A9F6-634E915D493E}" destId="{ED1A71E8-1E45-40CE-8FC3-7445FA401327}" srcOrd="0" destOrd="0" presId="urn:microsoft.com/office/officeart/2005/8/layout/hierarchy1"/>
    <dgm:cxn modelId="{4BB56809-95D7-4CE6-BC7B-2275F38480B2}" type="presParOf" srcId="{0194E6EB-64C8-4C56-A9F6-634E915D493E}" destId="{946243CE-6822-4846-8B79-9F6BE7398924}" srcOrd="1" destOrd="0" presId="urn:microsoft.com/office/officeart/2005/8/layout/hierarchy1"/>
    <dgm:cxn modelId="{892C52FC-3112-4A59-AEE7-AFBF1D5451A1}" type="presParOf" srcId="{5C49DE32-CFEB-4AAB-999D-1C58E8EE649E}" destId="{CAC3C1BB-8E67-4A87-9799-22A334F879CE}" srcOrd="1" destOrd="0" presId="urn:microsoft.com/office/officeart/2005/8/layout/hierarchy1"/>
    <dgm:cxn modelId="{90516A1B-5BE8-4B38-A9A2-2C7D16A76F25}" type="presParOf" srcId="{CAC3C1BB-8E67-4A87-9799-22A334F879CE}" destId="{87739EFB-8BD4-4A12-AB85-420B957D0A10}" srcOrd="0" destOrd="0" presId="urn:microsoft.com/office/officeart/2005/8/layout/hierarchy1"/>
    <dgm:cxn modelId="{0E39A54A-6753-4DE4-8C14-20D8C33DF8F9}" type="presParOf" srcId="{CAC3C1BB-8E67-4A87-9799-22A334F879CE}" destId="{FE043652-91C9-42DB-8224-8DCD0C24A1B2}" srcOrd="1" destOrd="0" presId="urn:microsoft.com/office/officeart/2005/8/layout/hierarchy1"/>
    <dgm:cxn modelId="{4481D1B1-03A3-41D8-956C-DED6F93C753E}" type="presParOf" srcId="{FE043652-91C9-42DB-8224-8DCD0C24A1B2}" destId="{414A9814-07BD-4B2F-8552-9AA258A28EA8}" srcOrd="0" destOrd="0" presId="urn:microsoft.com/office/officeart/2005/8/layout/hierarchy1"/>
    <dgm:cxn modelId="{F57A718D-0FDA-486E-8B17-563DCB077E0F}" type="presParOf" srcId="{414A9814-07BD-4B2F-8552-9AA258A28EA8}" destId="{658B89F7-B2EE-45F3-991B-F64868674945}" srcOrd="0" destOrd="0" presId="urn:microsoft.com/office/officeart/2005/8/layout/hierarchy1"/>
    <dgm:cxn modelId="{CF07A6FE-D6D6-4911-9729-7F0B44602E1C}" type="presParOf" srcId="{414A9814-07BD-4B2F-8552-9AA258A28EA8}" destId="{79AB58A4-1A79-485F-A932-CD10ABEDAC18}" srcOrd="1" destOrd="0" presId="urn:microsoft.com/office/officeart/2005/8/layout/hierarchy1"/>
    <dgm:cxn modelId="{FFABA625-B279-460C-9B77-79641FB2EF94}" type="presParOf" srcId="{FE043652-91C9-42DB-8224-8DCD0C24A1B2}" destId="{B269F60F-0710-4CA5-A190-581765F44729}" srcOrd="1" destOrd="0" presId="urn:microsoft.com/office/officeart/2005/8/layout/hierarchy1"/>
    <dgm:cxn modelId="{0654AB7A-E2BF-4135-9D0A-F5B3E58F82B5}" type="presParOf" srcId="{B269F60F-0710-4CA5-A190-581765F44729}" destId="{9787E105-54A0-43F8-8929-DB25BA6D9678}" srcOrd="0" destOrd="0" presId="urn:microsoft.com/office/officeart/2005/8/layout/hierarchy1"/>
    <dgm:cxn modelId="{898D3DFB-AAC4-4D72-BDA9-A6F91EA8404A}" type="presParOf" srcId="{B269F60F-0710-4CA5-A190-581765F44729}" destId="{D74887BA-D05E-41CA-A429-43AED62F2670}" srcOrd="1" destOrd="0" presId="urn:microsoft.com/office/officeart/2005/8/layout/hierarchy1"/>
    <dgm:cxn modelId="{050C5407-9780-46EE-BD30-0CA821D5D4E4}" type="presParOf" srcId="{D74887BA-D05E-41CA-A429-43AED62F2670}" destId="{AB6CE99D-AE8D-4C90-AA60-AB19EFDE598A}" srcOrd="0" destOrd="0" presId="urn:microsoft.com/office/officeart/2005/8/layout/hierarchy1"/>
    <dgm:cxn modelId="{03D982F3-665C-48C4-94BD-F6367F357B7E}" type="presParOf" srcId="{AB6CE99D-AE8D-4C90-AA60-AB19EFDE598A}" destId="{5EE83815-CB34-4FB9-8479-DC978933F703}" srcOrd="0" destOrd="0" presId="urn:microsoft.com/office/officeart/2005/8/layout/hierarchy1"/>
    <dgm:cxn modelId="{78A9B0B0-37FC-4529-8341-1047594DFB8E}" type="presParOf" srcId="{AB6CE99D-AE8D-4C90-AA60-AB19EFDE598A}" destId="{87543E5A-8F84-423D-B500-2A0B279572E5}" srcOrd="1" destOrd="0" presId="urn:microsoft.com/office/officeart/2005/8/layout/hierarchy1"/>
    <dgm:cxn modelId="{B5B46884-76E4-4390-A66B-3907D6275CAA}" type="presParOf" srcId="{D74887BA-D05E-41CA-A429-43AED62F2670}" destId="{7DA0C6C9-FB34-473F-8D45-ACC6B8C30D4D}" srcOrd="1" destOrd="0" presId="urn:microsoft.com/office/officeart/2005/8/layout/hierarchy1"/>
    <dgm:cxn modelId="{DFA526F9-0580-45D5-926F-8B52C42CBE3D}" type="presParOf" srcId="{7DA0C6C9-FB34-473F-8D45-ACC6B8C30D4D}" destId="{183BAE5F-DEEB-4EF4-84FC-113FD02B238D}" srcOrd="0" destOrd="0" presId="urn:microsoft.com/office/officeart/2005/8/layout/hierarchy1"/>
    <dgm:cxn modelId="{AA2E1575-33D6-4749-AC5E-ABA1EA7221E9}" type="presParOf" srcId="{7DA0C6C9-FB34-473F-8D45-ACC6B8C30D4D}" destId="{4C17BFD0-4466-4061-8243-178D2168CCEA}" srcOrd="1" destOrd="0" presId="urn:microsoft.com/office/officeart/2005/8/layout/hierarchy1"/>
    <dgm:cxn modelId="{99078450-5034-43F6-B4C0-466C4B7995B0}" type="presParOf" srcId="{4C17BFD0-4466-4061-8243-178D2168CCEA}" destId="{FE4195CB-54A6-44E0-9811-DE77EAA49B28}" srcOrd="0" destOrd="0" presId="urn:microsoft.com/office/officeart/2005/8/layout/hierarchy1"/>
    <dgm:cxn modelId="{BBC33581-1A0D-42D7-A9AD-F8965BD69729}" type="presParOf" srcId="{FE4195CB-54A6-44E0-9811-DE77EAA49B28}" destId="{B5F30336-6C9C-4DB7-BB45-DC15294F33F3}" srcOrd="0" destOrd="0" presId="urn:microsoft.com/office/officeart/2005/8/layout/hierarchy1"/>
    <dgm:cxn modelId="{B6BCF2C8-FE8F-439B-A7D2-A4E438A86B09}" type="presParOf" srcId="{FE4195CB-54A6-44E0-9811-DE77EAA49B28}" destId="{30111A0B-BBBF-49C2-AC8C-F111EA032954}" srcOrd="1" destOrd="0" presId="urn:microsoft.com/office/officeart/2005/8/layout/hierarchy1"/>
    <dgm:cxn modelId="{FF605B60-5400-4F14-9852-2447106D798F}" type="presParOf" srcId="{4C17BFD0-4466-4061-8243-178D2168CCEA}" destId="{CB1FAD4A-AC4C-462D-B221-3DCC153CEA0E}" srcOrd="1" destOrd="0" presId="urn:microsoft.com/office/officeart/2005/8/layout/hierarchy1"/>
    <dgm:cxn modelId="{119D3D1F-F1D7-4D0E-A3E5-2060E17E4D2A}" type="presParOf" srcId="{CB1FAD4A-AC4C-462D-B221-3DCC153CEA0E}" destId="{BD53E40B-0DBF-4C57-8470-F597929498DC}" srcOrd="0" destOrd="0" presId="urn:microsoft.com/office/officeart/2005/8/layout/hierarchy1"/>
    <dgm:cxn modelId="{44766A98-BCD0-4389-9D1F-DDB89D345F6A}" type="presParOf" srcId="{CB1FAD4A-AC4C-462D-B221-3DCC153CEA0E}" destId="{75D69CB0-4259-4DE1-B22E-C7F21A957C3A}" srcOrd="1" destOrd="0" presId="urn:microsoft.com/office/officeart/2005/8/layout/hierarchy1"/>
    <dgm:cxn modelId="{C057CF0F-EE0A-467E-9A7A-5B37D7C2F50B}" type="presParOf" srcId="{75D69CB0-4259-4DE1-B22E-C7F21A957C3A}" destId="{3326BDD4-96FA-407D-B0E0-30B6BA58F265}" srcOrd="0" destOrd="0" presId="urn:microsoft.com/office/officeart/2005/8/layout/hierarchy1"/>
    <dgm:cxn modelId="{E666A432-6AF5-491F-88F4-517F1B905341}" type="presParOf" srcId="{3326BDD4-96FA-407D-B0E0-30B6BA58F265}" destId="{1F4E2523-0B26-4894-95D3-97AFF2D48FA9}" srcOrd="0" destOrd="0" presId="urn:microsoft.com/office/officeart/2005/8/layout/hierarchy1"/>
    <dgm:cxn modelId="{CBA4AC82-C7C0-4ECC-8F47-92DBC97653CE}" type="presParOf" srcId="{3326BDD4-96FA-407D-B0E0-30B6BA58F265}" destId="{52528D63-55E7-4DAF-A822-99165EA04A5C}" srcOrd="1" destOrd="0" presId="urn:microsoft.com/office/officeart/2005/8/layout/hierarchy1"/>
    <dgm:cxn modelId="{C88419EE-C073-482E-8A33-30AB1BEB0195}" type="presParOf" srcId="{75D69CB0-4259-4DE1-B22E-C7F21A957C3A}" destId="{257721E3-5732-4D94-8DF7-4F8A1F7E07C8}" srcOrd="1" destOrd="0" presId="urn:microsoft.com/office/officeart/2005/8/layout/hierarchy1"/>
    <dgm:cxn modelId="{B066A76E-97E8-4069-B336-7ECF2287A164}" type="presParOf" srcId="{7DA0C6C9-FB34-473F-8D45-ACC6B8C30D4D}" destId="{ECD292D1-C580-4DBC-A05C-CC160B9D8C79}" srcOrd="2" destOrd="0" presId="urn:microsoft.com/office/officeart/2005/8/layout/hierarchy1"/>
    <dgm:cxn modelId="{5EDE02A1-C2C4-4848-8F19-366CEACE6579}" type="presParOf" srcId="{7DA0C6C9-FB34-473F-8D45-ACC6B8C30D4D}" destId="{6C0880AF-589C-482A-B4EB-77EECCCCC0EF}" srcOrd="3" destOrd="0" presId="urn:microsoft.com/office/officeart/2005/8/layout/hierarchy1"/>
    <dgm:cxn modelId="{4E5CF2CD-0725-4B5B-8FC1-C7EA7D3E7931}" type="presParOf" srcId="{6C0880AF-589C-482A-B4EB-77EECCCCC0EF}" destId="{646EB991-05D6-49CA-820D-CBA71EEE4454}" srcOrd="0" destOrd="0" presId="urn:microsoft.com/office/officeart/2005/8/layout/hierarchy1"/>
    <dgm:cxn modelId="{A13F9194-41EC-4900-8B35-B9D82759532C}" type="presParOf" srcId="{646EB991-05D6-49CA-820D-CBA71EEE4454}" destId="{9237A020-0599-4812-B18D-942DDEC0B660}" srcOrd="0" destOrd="0" presId="urn:microsoft.com/office/officeart/2005/8/layout/hierarchy1"/>
    <dgm:cxn modelId="{ACC13EF3-C43F-4140-9EFB-BCBFBB68D5B8}" type="presParOf" srcId="{646EB991-05D6-49CA-820D-CBA71EEE4454}" destId="{EE2BB23D-37BD-4799-8500-3F1198EF4911}" srcOrd="1" destOrd="0" presId="urn:microsoft.com/office/officeart/2005/8/layout/hierarchy1"/>
    <dgm:cxn modelId="{73941A62-2B12-4C6A-BE1E-D78D1C5684FC}" type="presParOf" srcId="{6C0880AF-589C-482A-B4EB-77EECCCCC0EF}" destId="{C570A3D1-D484-41EC-BB2C-8C04E2A0E445}" srcOrd="1" destOrd="0" presId="urn:microsoft.com/office/officeart/2005/8/layout/hierarchy1"/>
    <dgm:cxn modelId="{C1FDAE51-AF95-4A07-B396-082E14F757E7}" type="presParOf" srcId="{C570A3D1-D484-41EC-BB2C-8C04E2A0E445}" destId="{77021B5C-7212-4F51-9F61-9C3BC027EB1A}" srcOrd="0" destOrd="0" presId="urn:microsoft.com/office/officeart/2005/8/layout/hierarchy1"/>
    <dgm:cxn modelId="{CA05CBA3-EAC8-4CB3-8F3C-BED0379AC407}" type="presParOf" srcId="{C570A3D1-D484-41EC-BB2C-8C04E2A0E445}" destId="{A4F91803-BB68-4686-9B3A-A5BC9ED0FF40}" srcOrd="1" destOrd="0" presId="urn:microsoft.com/office/officeart/2005/8/layout/hierarchy1"/>
    <dgm:cxn modelId="{42C5ED1D-E589-4292-84C5-184851514410}" type="presParOf" srcId="{A4F91803-BB68-4686-9B3A-A5BC9ED0FF40}" destId="{512A55EF-5559-455C-B734-6A100EB7B616}" srcOrd="0" destOrd="0" presId="urn:microsoft.com/office/officeart/2005/8/layout/hierarchy1"/>
    <dgm:cxn modelId="{AD2B795A-B7D0-4AA7-A61B-EA8BE34B6F6C}" type="presParOf" srcId="{512A55EF-5559-455C-B734-6A100EB7B616}" destId="{B264ED1A-FC48-4CC4-8122-28EBC2B79A59}" srcOrd="0" destOrd="0" presId="urn:microsoft.com/office/officeart/2005/8/layout/hierarchy1"/>
    <dgm:cxn modelId="{0CC642BC-E2CE-44C3-8EFA-F2A9C4DE809B}" type="presParOf" srcId="{512A55EF-5559-455C-B734-6A100EB7B616}" destId="{5B064B70-C545-4B5F-A39C-0C8B03F27413}" srcOrd="1" destOrd="0" presId="urn:microsoft.com/office/officeart/2005/8/layout/hierarchy1"/>
    <dgm:cxn modelId="{BB13B312-54D9-4B2F-ACFA-D48815F22642}" type="presParOf" srcId="{A4F91803-BB68-4686-9B3A-A5BC9ED0FF40}" destId="{9B870E11-492B-4B6C-9461-01669B760049}" srcOrd="1" destOrd="0" presId="urn:microsoft.com/office/officeart/2005/8/layout/hierarchy1"/>
    <dgm:cxn modelId="{956CC02E-94E7-478E-9382-EB546E880401}" type="presParOf" srcId="{7DA0C6C9-FB34-473F-8D45-ACC6B8C30D4D}" destId="{C1D19851-98E4-4F3C-9B41-2A5BFD89D655}" srcOrd="4" destOrd="0" presId="urn:microsoft.com/office/officeart/2005/8/layout/hierarchy1"/>
    <dgm:cxn modelId="{4BF040C3-E695-41FE-BB70-8A27503A36E4}" type="presParOf" srcId="{7DA0C6C9-FB34-473F-8D45-ACC6B8C30D4D}" destId="{F2DBE1B4-B995-4444-848D-13FB262EE2B8}" srcOrd="5" destOrd="0" presId="urn:microsoft.com/office/officeart/2005/8/layout/hierarchy1"/>
    <dgm:cxn modelId="{F41F3023-8F58-4CFF-A151-142DC2D96270}" type="presParOf" srcId="{F2DBE1B4-B995-4444-848D-13FB262EE2B8}" destId="{FA6EFD84-CE02-4C6E-BD5F-97ED5DD27442}" srcOrd="0" destOrd="0" presId="urn:microsoft.com/office/officeart/2005/8/layout/hierarchy1"/>
    <dgm:cxn modelId="{D8C53EFB-678B-4C1D-8FD2-4A9D0266ED55}" type="presParOf" srcId="{FA6EFD84-CE02-4C6E-BD5F-97ED5DD27442}" destId="{38422559-A297-4BF6-9765-56A6E46B525E}" srcOrd="0" destOrd="0" presId="urn:microsoft.com/office/officeart/2005/8/layout/hierarchy1"/>
    <dgm:cxn modelId="{06F84032-9855-4DDC-9E6A-17E01B80AD5F}" type="presParOf" srcId="{FA6EFD84-CE02-4C6E-BD5F-97ED5DD27442}" destId="{2422BC7A-F732-45C6-950D-77846A0D5081}" srcOrd="1" destOrd="0" presId="urn:microsoft.com/office/officeart/2005/8/layout/hierarchy1"/>
    <dgm:cxn modelId="{4B682B31-1D28-4C90-969C-C173D0AA6008}" type="presParOf" srcId="{F2DBE1B4-B995-4444-848D-13FB262EE2B8}" destId="{42E03779-060B-4668-B003-72889C683B25}" srcOrd="1" destOrd="0" presId="urn:microsoft.com/office/officeart/2005/8/layout/hierarchy1"/>
    <dgm:cxn modelId="{247A04C0-1420-444E-9963-8ED50E213F11}" type="presParOf" srcId="{42E03779-060B-4668-B003-72889C683B25}" destId="{E417EF48-ED54-40A6-8673-17065C319BDD}" srcOrd="0" destOrd="0" presId="urn:microsoft.com/office/officeart/2005/8/layout/hierarchy1"/>
    <dgm:cxn modelId="{B37AE082-948D-4214-A979-FA506F47AA15}" type="presParOf" srcId="{42E03779-060B-4668-B003-72889C683B25}" destId="{18736040-5B95-4FFD-82AF-A2B2688F07CE}" srcOrd="1" destOrd="0" presId="urn:microsoft.com/office/officeart/2005/8/layout/hierarchy1"/>
    <dgm:cxn modelId="{7C0708C8-F29A-457C-BED4-1C01E2AB54BF}" type="presParOf" srcId="{18736040-5B95-4FFD-82AF-A2B2688F07CE}" destId="{70A62964-BBB6-4C96-8389-010E4EF984E6}" srcOrd="0" destOrd="0" presId="urn:microsoft.com/office/officeart/2005/8/layout/hierarchy1"/>
    <dgm:cxn modelId="{C0A7BD63-CE2B-4468-93CF-7BB82454470B}" type="presParOf" srcId="{70A62964-BBB6-4C96-8389-010E4EF984E6}" destId="{D41DCA14-0F2D-4C65-AC1D-C8083C73C4EC}" srcOrd="0" destOrd="0" presId="urn:microsoft.com/office/officeart/2005/8/layout/hierarchy1"/>
    <dgm:cxn modelId="{A2B0B909-E94F-479D-9ECC-7D03F86F0C58}" type="presParOf" srcId="{70A62964-BBB6-4C96-8389-010E4EF984E6}" destId="{A2C969E5-992E-4575-B6DC-FA15796D9926}" srcOrd="1" destOrd="0" presId="urn:microsoft.com/office/officeart/2005/8/layout/hierarchy1"/>
    <dgm:cxn modelId="{9E3346FD-EB57-4C85-BAEF-309FB9B06066}" type="presParOf" srcId="{18736040-5B95-4FFD-82AF-A2B2688F07CE}" destId="{938D8640-DCEF-4140-980D-551E37ABC319}" srcOrd="1" destOrd="0" presId="urn:microsoft.com/office/officeart/2005/8/layout/hierarchy1"/>
    <dgm:cxn modelId="{B0BCA9F8-5C1F-4162-9B41-919E70CF134B}" type="presParOf" srcId="{7DA0C6C9-FB34-473F-8D45-ACC6B8C30D4D}" destId="{47C9DB39-E0C1-43E8-9552-02D83F557F92}" srcOrd="6" destOrd="0" presId="urn:microsoft.com/office/officeart/2005/8/layout/hierarchy1"/>
    <dgm:cxn modelId="{F1BB2FD8-84DD-48D1-B4A3-21BF2810ACDD}" type="presParOf" srcId="{7DA0C6C9-FB34-473F-8D45-ACC6B8C30D4D}" destId="{ABCCA3E0-6412-40AC-B409-8A8519FDA6C2}" srcOrd="7" destOrd="0" presId="urn:microsoft.com/office/officeart/2005/8/layout/hierarchy1"/>
    <dgm:cxn modelId="{3C98D3D2-9EF8-4C1D-943B-5EFE0DAAC24A}" type="presParOf" srcId="{ABCCA3E0-6412-40AC-B409-8A8519FDA6C2}" destId="{F53AE524-8BF6-488C-8753-40E784C4194C}" srcOrd="0" destOrd="0" presId="urn:microsoft.com/office/officeart/2005/8/layout/hierarchy1"/>
    <dgm:cxn modelId="{56BA3E1A-201E-4FAE-B134-75A91C672D1F}" type="presParOf" srcId="{F53AE524-8BF6-488C-8753-40E784C4194C}" destId="{AD07592E-D97D-4829-8629-CEC29D74EF6C}" srcOrd="0" destOrd="0" presId="urn:microsoft.com/office/officeart/2005/8/layout/hierarchy1"/>
    <dgm:cxn modelId="{4596D6EB-5A5E-4040-B85B-777BAC6FEC4C}" type="presParOf" srcId="{F53AE524-8BF6-488C-8753-40E784C4194C}" destId="{2D664A93-EC00-488B-9CDD-53907332DD1F}" srcOrd="1" destOrd="0" presId="urn:microsoft.com/office/officeart/2005/8/layout/hierarchy1"/>
    <dgm:cxn modelId="{BCAC118A-D54F-4C3F-A66B-E7FCC3DF81FE}" type="presParOf" srcId="{ABCCA3E0-6412-40AC-B409-8A8519FDA6C2}" destId="{E59589FB-678F-42B9-886C-D877715ECF86}" srcOrd="1" destOrd="0" presId="urn:microsoft.com/office/officeart/2005/8/layout/hierarchy1"/>
    <dgm:cxn modelId="{A7966102-5323-4E4E-ADD3-F2995930CABD}" type="presParOf" srcId="{E59589FB-678F-42B9-886C-D877715ECF86}" destId="{93FEA46C-6EFF-485B-9478-AD77C21D2553}" srcOrd="0" destOrd="0" presId="urn:microsoft.com/office/officeart/2005/8/layout/hierarchy1"/>
    <dgm:cxn modelId="{8DD9EEB1-A6E5-4757-B430-87EEFF3F7823}" type="presParOf" srcId="{E59589FB-678F-42B9-886C-D877715ECF86}" destId="{F5717F9A-EE8E-4CB2-BBD5-754E1833AD45}" srcOrd="1" destOrd="0" presId="urn:microsoft.com/office/officeart/2005/8/layout/hierarchy1"/>
    <dgm:cxn modelId="{36567E1D-52CE-4400-A95F-FFD64011DEC6}" type="presParOf" srcId="{F5717F9A-EE8E-4CB2-BBD5-754E1833AD45}" destId="{0F13A9A0-C248-4931-88EF-BEF44722D721}" srcOrd="0" destOrd="0" presId="urn:microsoft.com/office/officeart/2005/8/layout/hierarchy1"/>
    <dgm:cxn modelId="{1F965EBF-B442-412C-B4B4-DD8EF17C57DA}" type="presParOf" srcId="{0F13A9A0-C248-4931-88EF-BEF44722D721}" destId="{07018779-EF86-4312-9209-65EEEE895ECA}" srcOrd="0" destOrd="0" presId="urn:microsoft.com/office/officeart/2005/8/layout/hierarchy1"/>
    <dgm:cxn modelId="{E4C7042C-F40C-46DA-92F6-74FD9982B2E9}" type="presParOf" srcId="{0F13A9A0-C248-4931-88EF-BEF44722D721}" destId="{284CAA4B-93DA-4DB8-9E7C-B5C7E5EF76A9}" srcOrd="1" destOrd="0" presId="urn:microsoft.com/office/officeart/2005/8/layout/hierarchy1"/>
    <dgm:cxn modelId="{E8242561-6713-48DD-8C1D-75690F9FF6F2}" type="presParOf" srcId="{F5717F9A-EE8E-4CB2-BBD5-754E1833AD45}" destId="{2A72694F-22DB-4E20-ABB8-AE22ED9EAA08}" srcOrd="1" destOrd="0" presId="urn:microsoft.com/office/officeart/2005/8/layout/hierarchy1"/>
    <dgm:cxn modelId="{FC57106A-AB40-46C7-9DB3-1060FC94FAC6}" type="presParOf" srcId="{7DA0C6C9-FB34-473F-8D45-ACC6B8C30D4D}" destId="{3796B078-6E74-4EEE-B247-7993CF4E45CA}" srcOrd="8" destOrd="0" presId="urn:microsoft.com/office/officeart/2005/8/layout/hierarchy1"/>
    <dgm:cxn modelId="{4F509FE0-A06C-4962-9202-6605B63A5DC5}" type="presParOf" srcId="{7DA0C6C9-FB34-473F-8D45-ACC6B8C30D4D}" destId="{5AF735CB-367C-4021-AD1E-D29C98612452}" srcOrd="9" destOrd="0" presId="urn:microsoft.com/office/officeart/2005/8/layout/hierarchy1"/>
    <dgm:cxn modelId="{C911E25D-BE7A-4A51-B972-07D026765637}" type="presParOf" srcId="{5AF735CB-367C-4021-AD1E-D29C98612452}" destId="{4447E4B5-8B6E-40DA-AA0D-E3CCFEFC6502}" srcOrd="0" destOrd="0" presId="urn:microsoft.com/office/officeart/2005/8/layout/hierarchy1"/>
    <dgm:cxn modelId="{1DADCAAE-381D-4AFE-8251-FAC90B8AA146}" type="presParOf" srcId="{4447E4B5-8B6E-40DA-AA0D-E3CCFEFC6502}" destId="{4E257C34-F005-4100-BF06-5EEA0A9BA2F2}" srcOrd="0" destOrd="0" presId="urn:microsoft.com/office/officeart/2005/8/layout/hierarchy1"/>
    <dgm:cxn modelId="{9E99A5B1-F300-485B-9D36-D59B9157FE59}" type="presParOf" srcId="{4447E4B5-8B6E-40DA-AA0D-E3CCFEFC6502}" destId="{ED711DB1-B2B8-4A37-A9CA-EBC51CAFF9E5}" srcOrd="1" destOrd="0" presId="urn:microsoft.com/office/officeart/2005/8/layout/hierarchy1"/>
    <dgm:cxn modelId="{E6D6709C-16A1-412D-B87F-B7319B4957C3}" type="presParOf" srcId="{5AF735CB-367C-4021-AD1E-D29C98612452}" destId="{6B0A8D93-3754-4672-8C1B-C62CB1E28637}" srcOrd="1" destOrd="0" presId="urn:microsoft.com/office/officeart/2005/8/layout/hierarchy1"/>
    <dgm:cxn modelId="{9E580577-4EF7-4E8B-8486-A1CD5BC90C43}" type="presParOf" srcId="{6B0A8D93-3754-4672-8C1B-C62CB1E28637}" destId="{0574FCA6-2B36-4963-A082-6D8FC7D410C5}" srcOrd="0" destOrd="0" presId="urn:microsoft.com/office/officeart/2005/8/layout/hierarchy1"/>
    <dgm:cxn modelId="{E9E11323-6259-492B-B318-FDA9CBDE1413}" type="presParOf" srcId="{6B0A8D93-3754-4672-8C1B-C62CB1E28637}" destId="{72CB8BCB-0C83-4557-8FFE-608D52E54CFD}" srcOrd="1" destOrd="0" presId="urn:microsoft.com/office/officeart/2005/8/layout/hierarchy1"/>
    <dgm:cxn modelId="{F4C6D56A-2474-41CB-9BD7-DBC99D6FB82F}" type="presParOf" srcId="{72CB8BCB-0C83-4557-8FFE-608D52E54CFD}" destId="{803EBE40-1604-426F-A411-F585FC617B8A}" srcOrd="0" destOrd="0" presId="urn:microsoft.com/office/officeart/2005/8/layout/hierarchy1"/>
    <dgm:cxn modelId="{2AFE5AA1-4F6D-4394-8386-35512812CF67}" type="presParOf" srcId="{803EBE40-1604-426F-A411-F585FC617B8A}" destId="{04D22F82-6975-4324-AD97-0801D27EE764}" srcOrd="0" destOrd="0" presId="urn:microsoft.com/office/officeart/2005/8/layout/hierarchy1"/>
    <dgm:cxn modelId="{275C2179-FA70-482F-A745-C130F6EAA037}" type="presParOf" srcId="{803EBE40-1604-426F-A411-F585FC617B8A}" destId="{590A875B-5F41-42C2-A7BF-8B2C31AC3F09}" srcOrd="1" destOrd="0" presId="urn:microsoft.com/office/officeart/2005/8/layout/hierarchy1"/>
    <dgm:cxn modelId="{6940C754-57BA-48A6-90A1-DC3DB09FD33A}" type="presParOf" srcId="{72CB8BCB-0C83-4557-8FFE-608D52E54CFD}" destId="{5DAB9046-7031-4AA5-9CB3-0F45806C3197}" srcOrd="1" destOrd="0" presId="urn:microsoft.com/office/officeart/2005/8/layout/hierarchy1"/>
    <dgm:cxn modelId="{60439762-C0F9-41D4-958E-603DC7811955}" type="presParOf" srcId="{0CC29F46-450E-44AA-AAC1-823ABEE3F261}" destId="{0D9DE1A2-027D-4646-AE35-9504B97ED8D6}" srcOrd="3" destOrd="0" presId="urn:microsoft.com/office/officeart/2005/8/layout/hierarchy1"/>
    <dgm:cxn modelId="{93DA2B1C-1A44-41D4-B5CF-D4CE3B270E42}" type="presParOf" srcId="{0D9DE1A2-027D-4646-AE35-9504B97ED8D6}" destId="{1AC9AC6C-11E9-4C55-B06E-EB90E4244A49}" srcOrd="0" destOrd="0" presId="urn:microsoft.com/office/officeart/2005/8/layout/hierarchy1"/>
    <dgm:cxn modelId="{E66FAA90-4897-42FE-9A0A-948BF8F81E81}" type="presParOf" srcId="{1AC9AC6C-11E9-4C55-B06E-EB90E4244A49}" destId="{B851DCAC-7567-46E1-B169-DE463500901E}" srcOrd="0" destOrd="0" presId="urn:microsoft.com/office/officeart/2005/8/layout/hierarchy1"/>
    <dgm:cxn modelId="{0198A851-7D81-4684-8782-4D78AE2E1167}" type="presParOf" srcId="{1AC9AC6C-11E9-4C55-B06E-EB90E4244A49}" destId="{6ADE595A-84E4-44CF-93AD-5CA2028C83E8}" srcOrd="1" destOrd="0" presId="urn:microsoft.com/office/officeart/2005/8/layout/hierarchy1"/>
    <dgm:cxn modelId="{C841CA1F-032C-4489-A8B6-9DDA12EA95DD}" type="presParOf" srcId="{0D9DE1A2-027D-4646-AE35-9504B97ED8D6}" destId="{40F1A2E0-B9FA-4603-A2C1-24A39030DBD2}" srcOrd="1" destOrd="0" presId="urn:microsoft.com/office/officeart/2005/8/layout/hierarchy1"/>
    <dgm:cxn modelId="{59AA2103-F956-4BF7-988F-7CD9EFEC0173}" type="presParOf" srcId="{0CC29F46-450E-44AA-AAC1-823ABEE3F261}" destId="{4DF0C315-69B5-4E5F-AC6F-1901F440DA76}" srcOrd="4" destOrd="0" presId="urn:microsoft.com/office/officeart/2005/8/layout/hierarchy1"/>
    <dgm:cxn modelId="{60A742C1-2754-4222-919D-B244FB63BF75}" type="presParOf" srcId="{4DF0C315-69B5-4E5F-AC6F-1901F440DA76}" destId="{482AAC59-89E2-4A8A-9EC6-C53B7278B2E3}" srcOrd="0" destOrd="0" presId="urn:microsoft.com/office/officeart/2005/8/layout/hierarchy1"/>
    <dgm:cxn modelId="{0CEA84F0-0DB0-467F-88F4-0923533411FC}" type="presParOf" srcId="{482AAC59-89E2-4A8A-9EC6-C53B7278B2E3}" destId="{37EECCC0-6E8C-4542-87C9-ADAC0EC25AAC}" srcOrd="0" destOrd="0" presId="urn:microsoft.com/office/officeart/2005/8/layout/hierarchy1"/>
    <dgm:cxn modelId="{4B9D6189-40C6-460D-BF32-9F07C5F494EE}" type="presParOf" srcId="{482AAC59-89E2-4A8A-9EC6-C53B7278B2E3}" destId="{A01325B6-0489-4164-85EC-283DAF114C3E}" srcOrd="1" destOrd="0" presId="urn:microsoft.com/office/officeart/2005/8/layout/hierarchy1"/>
    <dgm:cxn modelId="{B05B269C-0036-4945-9B74-F0734177AB84}" type="presParOf" srcId="{4DF0C315-69B5-4E5F-AC6F-1901F440DA76}" destId="{599C2781-9035-452B-A8D8-78640EB42D7C}"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F165CB-3CFE-49D9-B6C0-B04F9DB4B81C}" type="doc">
      <dgm:prSet loTypeId="urn:microsoft.com/office/officeart/2005/8/layout/hierarchy1" loCatId="hierarchy" qsTypeId="urn:microsoft.com/office/officeart/2005/8/quickstyle/simple1" qsCatId="simple" csTypeId="urn:microsoft.com/office/officeart/2005/8/colors/accent1_3" csCatId="accent1" phldr="1"/>
      <dgm:spPr/>
      <dgm:t>
        <a:bodyPr/>
        <a:lstStyle/>
        <a:p>
          <a:endParaRPr lang="es-CO"/>
        </a:p>
      </dgm:t>
    </dgm:pt>
    <dgm:pt modelId="{4EAC3D97-5E05-41B8-916A-DB2C3D8FC544}">
      <dgm:prSet phldrT="[Texto]" custT="1"/>
      <dgm:spPr/>
      <dgm:t>
        <a:bodyPr/>
        <a:lstStyle/>
        <a:p>
          <a:r>
            <a:rPr lang="es-CO" sz="900">
              <a:latin typeface="Times New Roman" pitchFamily="18" charset="0"/>
              <a:cs typeface="Times New Roman" pitchFamily="18" charset="0"/>
            </a:rPr>
            <a:t>Finalidad 2 Ciudadanos con capacidad para comprender el mundo</a:t>
          </a:r>
        </a:p>
      </dgm:t>
    </dgm:pt>
    <dgm:pt modelId="{BA2A3ED8-E7D5-47F7-BB4D-E84110D7DE18}" type="parTrans" cxnId="{B269D357-4B5E-4F69-8EA5-F228DAA8E691}">
      <dgm:prSet/>
      <dgm:spPr/>
      <dgm:t>
        <a:bodyPr/>
        <a:lstStyle/>
        <a:p>
          <a:endParaRPr lang="es-CO" sz="900">
            <a:latin typeface="Times New Roman" pitchFamily="18" charset="0"/>
            <a:cs typeface="Times New Roman" pitchFamily="18" charset="0"/>
          </a:endParaRPr>
        </a:p>
      </dgm:t>
    </dgm:pt>
    <dgm:pt modelId="{E48FCB40-AD78-4FB2-8C86-C422EB1CB514}" type="sibTrans" cxnId="{B269D357-4B5E-4F69-8EA5-F228DAA8E691}">
      <dgm:prSet/>
      <dgm:spPr/>
      <dgm:t>
        <a:bodyPr/>
        <a:lstStyle/>
        <a:p>
          <a:endParaRPr lang="es-CO" sz="900">
            <a:latin typeface="Times New Roman" pitchFamily="18" charset="0"/>
            <a:cs typeface="Times New Roman" pitchFamily="18" charset="0"/>
          </a:endParaRPr>
        </a:p>
      </dgm:t>
    </dgm:pt>
    <dgm:pt modelId="{A7CB5C50-3187-4680-BFBA-C60BCD037AFF}">
      <dgm:prSet phldrT="[Texto]" custT="1"/>
      <dgm:spPr/>
      <dgm:t>
        <a:bodyPr/>
        <a:lstStyle/>
        <a:p>
          <a:r>
            <a:rPr lang="es-CO" sz="900">
              <a:latin typeface="Times New Roman" pitchFamily="18" charset="0"/>
              <a:cs typeface="Times New Roman" pitchFamily="18" charset="0"/>
            </a:rPr>
            <a:t>Objetivo específico 1 Garantizar el derecho con calidad, gratuidad y permanencia</a:t>
          </a:r>
        </a:p>
      </dgm:t>
    </dgm:pt>
    <dgm:pt modelId="{7B0251BD-ED75-44DB-B7D5-8A20D0C9E0CB}" type="parTrans" cxnId="{D27D7478-2272-4780-A2FE-89FFF440178E}">
      <dgm:prSet/>
      <dgm:spPr/>
      <dgm:t>
        <a:bodyPr/>
        <a:lstStyle/>
        <a:p>
          <a:endParaRPr lang="es-CO" sz="900">
            <a:latin typeface="Times New Roman" pitchFamily="18" charset="0"/>
            <a:cs typeface="Times New Roman" pitchFamily="18" charset="0"/>
          </a:endParaRPr>
        </a:p>
      </dgm:t>
    </dgm:pt>
    <dgm:pt modelId="{6945AC92-2893-451F-A4D4-C60B1284A240}" type="sibTrans" cxnId="{D27D7478-2272-4780-A2FE-89FFF440178E}">
      <dgm:prSet/>
      <dgm:spPr/>
      <dgm:t>
        <a:bodyPr/>
        <a:lstStyle/>
        <a:p>
          <a:endParaRPr lang="es-CO" sz="900">
            <a:latin typeface="Times New Roman" pitchFamily="18" charset="0"/>
            <a:cs typeface="Times New Roman" pitchFamily="18" charset="0"/>
          </a:endParaRPr>
        </a:p>
      </dgm:t>
    </dgm:pt>
    <dgm:pt modelId="{D827F2F9-11A2-439F-9BB8-E3285FED73A2}">
      <dgm:prSet phldrT="[Texto]" custT="1"/>
      <dgm:spPr/>
      <dgm:t>
        <a:bodyPr/>
        <a:lstStyle/>
        <a:p>
          <a:r>
            <a:rPr lang="es-CO" sz="900">
              <a:latin typeface="Times New Roman" pitchFamily="18" charset="0"/>
              <a:cs typeface="Times New Roman" pitchFamily="18" charset="0"/>
            </a:rPr>
            <a:t>Objetivo específico 2 Jornada educativa de 40 horas para la excelencia académica y la formación integral</a:t>
          </a:r>
        </a:p>
      </dgm:t>
    </dgm:pt>
    <dgm:pt modelId="{AC737CB5-C5ED-4ABB-94F5-063FF055F932}" type="parTrans" cxnId="{64FD8E11-1598-401E-BAA6-B08734FF601C}">
      <dgm:prSet/>
      <dgm:spPr/>
      <dgm:t>
        <a:bodyPr/>
        <a:lstStyle/>
        <a:p>
          <a:endParaRPr lang="es-CO" sz="900">
            <a:latin typeface="Times New Roman" pitchFamily="18" charset="0"/>
            <a:cs typeface="Times New Roman" pitchFamily="18" charset="0"/>
          </a:endParaRPr>
        </a:p>
      </dgm:t>
    </dgm:pt>
    <dgm:pt modelId="{69C5D181-8ED1-4B10-AD1B-B56ABF59255B}" type="sibTrans" cxnId="{64FD8E11-1598-401E-BAA6-B08734FF601C}">
      <dgm:prSet/>
      <dgm:spPr/>
      <dgm:t>
        <a:bodyPr/>
        <a:lstStyle/>
        <a:p>
          <a:endParaRPr lang="es-CO" sz="900">
            <a:latin typeface="Times New Roman" pitchFamily="18" charset="0"/>
            <a:cs typeface="Times New Roman" pitchFamily="18" charset="0"/>
          </a:endParaRPr>
        </a:p>
      </dgm:t>
    </dgm:pt>
    <dgm:pt modelId="{08BE38F5-0A4B-4733-9497-E1F6EEF3E976}">
      <dgm:prSet phldrT="[Texto]" custT="1"/>
      <dgm:spPr/>
      <dgm:t>
        <a:bodyPr/>
        <a:lstStyle/>
        <a:p>
          <a:r>
            <a:rPr lang="es-CO" sz="900">
              <a:latin typeface="Times New Roman" pitchFamily="18" charset="0"/>
              <a:cs typeface="Times New Roman" pitchFamily="18" charset="0"/>
            </a:rPr>
            <a:t>Objetivos 2: Garantizar  acceso y permanencia</a:t>
          </a:r>
        </a:p>
      </dgm:t>
    </dgm:pt>
    <dgm:pt modelId="{D57643F8-8C10-4A3A-AE4D-6A1E4B63F078}" type="parTrans" cxnId="{50DC2FC6-8DD1-48A2-9CED-9EBCF761C3B1}">
      <dgm:prSet/>
      <dgm:spPr/>
      <dgm:t>
        <a:bodyPr/>
        <a:lstStyle/>
        <a:p>
          <a:endParaRPr lang="es-CO" sz="900">
            <a:latin typeface="Times New Roman" pitchFamily="18" charset="0"/>
            <a:cs typeface="Times New Roman" pitchFamily="18" charset="0"/>
          </a:endParaRPr>
        </a:p>
      </dgm:t>
    </dgm:pt>
    <dgm:pt modelId="{E8C28423-1F57-42E1-BE00-C109A5231ABB}" type="sibTrans" cxnId="{50DC2FC6-8DD1-48A2-9CED-9EBCF761C3B1}">
      <dgm:prSet/>
      <dgm:spPr/>
      <dgm:t>
        <a:bodyPr/>
        <a:lstStyle/>
        <a:p>
          <a:endParaRPr lang="es-CO" sz="900">
            <a:latin typeface="Times New Roman" pitchFamily="18" charset="0"/>
            <a:cs typeface="Times New Roman" pitchFamily="18" charset="0"/>
          </a:endParaRPr>
        </a:p>
      </dgm:t>
    </dgm:pt>
    <dgm:pt modelId="{B7C64FF3-4B38-4417-9C58-B1B3A3116E05}">
      <dgm:prSet phldrT="[Texto]" custT="1"/>
      <dgm:spPr/>
      <dgm:t>
        <a:bodyPr/>
        <a:lstStyle/>
        <a:p>
          <a:r>
            <a:rPr lang="es-CO" sz="900">
              <a:latin typeface="Times New Roman" pitchFamily="18" charset="0"/>
              <a:cs typeface="Times New Roman" pitchFamily="18" charset="0"/>
            </a:rPr>
            <a:t>Objetivo específico 3 Educación inicial diferencial, inclusiva y de calidad para disfrutar y  aprender desde la primera infancia</a:t>
          </a:r>
        </a:p>
      </dgm:t>
    </dgm:pt>
    <dgm:pt modelId="{546EF2B6-3A7A-4686-87E7-A846CFC19EC1}" type="parTrans" cxnId="{2A29CFBD-6B13-4DEB-A0EB-268F1F1E8EDD}">
      <dgm:prSet/>
      <dgm:spPr/>
      <dgm:t>
        <a:bodyPr/>
        <a:lstStyle/>
        <a:p>
          <a:endParaRPr lang="es-CO" sz="900">
            <a:latin typeface="Times New Roman" pitchFamily="18" charset="0"/>
            <a:cs typeface="Times New Roman" pitchFamily="18" charset="0"/>
          </a:endParaRPr>
        </a:p>
      </dgm:t>
    </dgm:pt>
    <dgm:pt modelId="{5A06BC23-1D38-410E-85B1-2ED7869EF0D6}" type="sibTrans" cxnId="{2A29CFBD-6B13-4DEB-A0EB-268F1F1E8EDD}">
      <dgm:prSet/>
      <dgm:spPr/>
      <dgm:t>
        <a:bodyPr/>
        <a:lstStyle/>
        <a:p>
          <a:endParaRPr lang="es-CO" sz="900">
            <a:latin typeface="Times New Roman" pitchFamily="18" charset="0"/>
            <a:cs typeface="Times New Roman" pitchFamily="18" charset="0"/>
          </a:endParaRPr>
        </a:p>
      </dgm:t>
    </dgm:pt>
    <dgm:pt modelId="{6553B1F1-89A0-4677-8FEA-3712ED37216E}">
      <dgm:prSet phldrT="[Texto]" custT="1"/>
      <dgm:spPr/>
      <dgm:t>
        <a:bodyPr/>
        <a:lstStyle/>
        <a:p>
          <a:r>
            <a:rPr lang="es-CO" sz="900">
              <a:latin typeface="Times New Roman" pitchFamily="18" charset="0"/>
              <a:cs typeface="Times New Roman" pitchFamily="18" charset="0"/>
            </a:rPr>
            <a:t>Objetivo específico 4 Educación media fortalecida y mayor acceso a educación superior</a:t>
          </a:r>
        </a:p>
      </dgm:t>
    </dgm:pt>
    <dgm:pt modelId="{B2881294-EB80-4D46-9592-8ACB35717DA0}" type="parTrans" cxnId="{714DF0B4-F4AE-4386-AF70-96834ED93C20}">
      <dgm:prSet/>
      <dgm:spPr/>
      <dgm:t>
        <a:bodyPr/>
        <a:lstStyle/>
        <a:p>
          <a:endParaRPr lang="es-CO" sz="900">
            <a:latin typeface="Times New Roman" pitchFamily="18" charset="0"/>
            <a:cs typeface="Times New Roman" pitchFamily="18" charset="0"/>
          </a:endParaRPr>
        </a:p>
      </dgm:t>
    </dgm:pt>
    <dgm:pt modelId="{F1397AFD-90B6-4487-8218-7D756A121CA4}" type="sibTrans" cxnId="{714DF0B4-F4AE-4386-AF70-96834ED93C20}">
      <dgm:prSet/>
      <dgm:spPr/>
      <dgm:t>
        <a:bodyPr/>
        <a:lstStyle/>
        <a:p>
          <a:endParaRPr lang="es-CO" sz="900">
            <a:latin typeface="Times New Roman" pitchFamily="18" charset="0"/>
            <a:cs typeface="Times New Roman" pitchFamily="18" charset="0"/>
          </a:endParaRPr>
        </a:p>
      </dgm:t>
    </dgm:pt>
    <dgm:pt modelId="{BCFE4280-90A1-4E5D-A3B7-AE18C62353DD}">
      <dgm:prSet phldrT="[Texto]" custT="1"/>
      <dgm:spPr/>
      <dgm:t>
        <a:bodyPr/>
        <a:lstStyle/>
        <a:p>
          <a:r>
            <a:rPr lang="es-CO" sz="900">
              <a:latin typeface="Times New Roman" pitchFamily="18" charset="0"/>
              <a:cs typeface="Times New Roman" pitchFamily="18" charset="0"/>
            </a:rPr>
            <a:t>Objetivo específico 5 Fortalecimiento de las instituciones educativas, con empoderamiento ciudadano, docente y mejoramiento de la gestión sectorial</a:t>
          </a:r>
        </a:p>
      </dgm:t>
    </dgm:pt>
    <dgm:pt modelId="{AE6A22DE-EF8A-4AB3-B55A-17FC45F504CF}" type="parTrans" cxnId="{22F430D2-83D7-4BF9-9D1B-7A4C8A53AC8D}">
      <dgm:prSet/>
      <dgm:spPr/>
      <dgm:t>
        <a:bodyPr/>
        <a:lstStyle/>
        <a:p>
          <a:endParaRPr lang="es-CO" sz="900">
            <a:latin typeface="Times New Roman" pitchFamily="18" charset="0"/>
            <a:cs typeface="Times New Roman" pitchFamily="18" charset="0"/>
          </a:endParaRPr>
        </a:p>
      </dgm:t>
    </dgm:pt>
    <dgm:pt modelId="{CB7531C2-39FE-4648-A1CD-43D4C8FEE691}" type="sibTrans" cxnId="{22F430D2-83D7-4BF9-9D1B-7A4C8A53AC8D}">
      <dgm:prSet/>
      <dgm:spPr/>
      <dgm:t>
        <a:bodyPr/>
        <a:lstStyle/>
        <a:p>
          <a:endParaRPr lang="es-CO" sz="900">
            <a:latin typeface="Times New Roman" pitchFamily="18" charset="0"/>
            <a:cs typeface="Times New Roman" pitchFamily="18" charset="0"/>
          </a:endParaRPr>
        </a:p>
      </dgm:t>
    </dgm:pt>
    <dgm:pt modelId="{F045BFB1-D243-4BCD-888A-F325676DCBD9}">
      <dgm:prSet phldrT="[Texto]" custT="1"/>
      <dgm:spPr/>
      <dgm:t>
        <a:bodyPr/>
        <a:lstStyle/>
        <a:p>
          <a:r>
            <a:rPr lang="es-CO" sz="900">
              <a:latin typeface="Times New Roman" pitchFamily="18" charset="0"/>
              <a:cs typeface="Times New Roman" pitchFamily="18" charset="0"/>
            </a:rPr>
            <a:t>Objetivo 1 Mejorar conocimientos, habilidades, competencias y actitudes de la población y reducir sustancialmente la exclusión y las desigualdades en las oportunidades educativas</a:t>
          </a:r>
        </a:p>
      </dgm:t>
    </dgm:pt>
    <dgm:pt modelId="{6DA07B44-6858-42D5-AD8F-F88FA33C58FE}" type="sibTrans" cxnId="{F6396F22-635F-4391-A1CB-F4214090D758}">
      <dgm:prSet/>
      <dgm:spPr/>
      <dgm:t>
        <a:bodyPr/>
        <a:lstStyle/>
        <a:p>
          <a:endParaRPr lang="es-CO" sz="900">
            <a:latin typeface="Times New Roman" pitchFamily="18" charset="0"/>
            <a:cs typeface="Times New Roman" pitchFamily="18" charset="0"/>
          </a:endParaRPr>
        </a:p>
      </dgm:t>
    </dgm:pt>
    <dgm:pt modelId="{E36C18B8-B7D0-498A-83A8-F267FF045768}" type="parTrans" cxnId="{F6396F22-635F-4391-A1CB-F4214090D758}">
      <dgm:prSet/>
      <dgm:spPr>
        <a:ln>
          <a:solidFill>
            <a:schemeClr val="bg1"/>
          </a:solidFill>
        </a:ln>
      </dgm:spPr>
      <dgm:t>
        <a:bodyPr/>
        <a:lstStyle/>
        <a:p>
          <a:endParaRPr lang="es-CO" sz="900">
            <a:latin typeface="Times New Roman" pitchFamily="18" charset="0"/>
            <a:cs typeface="Times New Roman" pitchFamily="18" charset="0"/>
          </a:endParaRPr>
        </a:p>
      </dgm:t>
    </dgm:pt>
    <dgm:pt modelId="{E9774947-E429-404F-A95E-AA5098FB6458}">
      <dgm:prSet phldrT="[Texto]" custT="1"/>
      <dgm:spPr/>
      <dgm:t>
        <a:bodyPr/>
        <a:lstStyle/>
        <a:p>
          <a:r>
            <a:rPr lang="es-CO" sz="900">
              <a:latin typeface="Times New Roman" pitchFamily="18" charset="0"/>
              <a:cs typeface="Times New Roman" pitchFamily="18" charset="0"/>
            </a:rPr>
            <a:t>Finalidad 3 Ciudadanos que acceden a la cultura y al deporte</a:t>
          </a:r>
        </a:p>
      </dgm:t>
    </dgm:pt>
    <dgm:pt modelId="{EBBC122B-03D7-4297-806C-0BEDBE15EAD8}" type="sibTrans" cxnId="{07CB8952-C699-411C-BE74-B88E0A96D927}">
      <dgm:prSet/>
      <dgm:spPr/>
      <dgm:t>
        <a:bodyPr/>
        <a:lstStyle/>
        <a:p>
          <a:endParaRPr lang="es-CO" sz="900">
            <a:latin typeface="Times New Roman" pitchFamily="18" charset="0"/>
            <a:cs typeface="Times New Roman" pitchFamily="18" charset="0"/>
          </a:endParaRPr>
        </a:p>
      </dgm:t>
    </dgm:pt>
    <dgm:pt modelId="{045C849C-DF2F-41E5-B5B9-7618FE4917F6}" type="parTrans" cxnId="{07CB8952-C699-411C-BE74-B88E0A96D927}">
      <dgm:prSet/>
      <dgm:spPr/>
      <dgm:t>
        <a:bodyPr/>
        <a:lstStyle/>
        <a:p>
          <a:endParaRPr lang="es-CO" sz="900">
            <a:latin typeface="Times New Roman" pitchFamily="18" charset="0"/>
            <a:cs typeface="Times New Roman" pitchFamily="18" charset="0"/>
          </a:endParaRPr>
        </a:p>
      </dgm:t>
    </dgm:pt>
    <dgm:pt modelId="{BB1E0A99-BF68-40DB-9625-0D5CE9011581}">
      <dgm:prSet phldrT="[Texto]" custT="1"/>
      <dgm:spPr/>
      <dgm:t>
        <a:bodyPr/>
        <a:lstStyle/>
        <a:p>
          <a:r>
            <a:rPr lang="es-CO" sz="900">
              <a:latin typeface="Times New Roman" pitchFamily="18" charset="0"/>
              <a:cs typeface="Times New Roman" pitchFamily="18" charset="0"/>
            </a:rPr>
            <a:t>Finalidad 4 Ciudadanos conscientes de la diversidad</a:t>
          </a:r>
        </a:p>
      </dgm:t>
    </dgm:pt>
    <dgm:pt modelId="{616D8820-7986-4BEF-B438-32FD78FC2A23}" type="parTrans" cxnId="{F05D643A-BBB3-4B1A-84B3-29BA6A75E01C}">
      <dgm:prSet/>
      <dgm:spPr/>
      <dgm:t>
        <a:bodyPr/>
        <a:lstStyle/>
        <a:p>
          <a:endParaRPr lang="es-CO" sz="900">
            <a:latin typeface="Times New Roman" pitchFamily="18" charset="0"/>
            <a:cs typeface="Times New Roman" pitchFamily="18" charset="0"/>
          </a:endParaRPr>
        </a:p>
      </dgm:t>
    </dgm:pt>
    <dgm:pt modelId="{053893AE-E3A2-45F0-96EA-0A8B9E79886A}" type="sibTrans" cxnId="{F05D643A-BBB3-4B1A-84B3-29BA6A75E01C}">
      <dgm:prSet/>
      <dgm:spPr/>
      <dgm:t>
        <a:bodyPr/>
        <a:lstStyle/>
        <a:p>
          <a:endParaRPr lang="es-CO" sz="900">
            <a:latin typeface="Times New Roman" pitchFamily="18" charset="0"/>
            <a:cs typeface="Times New Roman" pitchFamily="18" charset="0"/>
          </a:endParaRPr>
        </a:p>
      </dgm:t>
    </dgm:pt>
    <dgm:pt modelId="{4152F9CE-B7F7-45E5-9FF7-4931570DF430}">
      <dgm:prSet phldrT="[Texto]" custT="1"/>
      <dgm:spPr/>
      <dgm:t>
        <a:bodyPr/>
        <a:lstStyle/>
        <a:p>
          <a:r>
            <a:rPr lang="es-CO" sz="900">
              <a:latin typeface="Times New Roman" pitchFamily="18" charset="0"/>
              <a:cs typeface="Times New Roman" pitchFamily="18" charset="0"/>
            </a:rPr>
            <a:t>Finalidad 5 Ciudadanos con acceso equitativo a la educación superior y al mundo laboral</a:t>
          </a:r>
        </a:p>
      </dgm:t>
    </dgm:pt>
    <dgm:pt modelId="{3D5C11B0-0B0D-4E46-8E63-00AA30CD3122}" type="parTrans" cxnId="{5B9520A7-EC0A-46D4-8644-8C5C816E28A1}">
      <dgm:prSet/>
      <dgm:spPr/>
      <dgm:t>
        <a:bodyPr/>
        <a:lstStyle/>
        <a:p>
          <a:endParaRPr lang="es-CO" sz="900">
            <a:latin typeface="Times New Roman" pitchFamily="18" charset="0"/>
            <a:cs typeface="Times New Roman" pitchFamily="18" charset="0"/>
          </a:endParaRPr>
        </a:p>
      </dgm:t>
    </dgm:pt>
    <dgm:pt modelId="{1EAC61F2-A1EC-4ADA-9D62-80E571A2FE61}" type="sibTrans" cxnId="{5B9520A7-EC0A-46D4-8644-8C5C816E28A1}">
      <dgm:prSet/>
      <dgm:spPr/>
      <dgm:t>
        <a:bodyPr/>
        <a:lstStyle/>
        <a:p>
          <a:endParaRPr lang="es-CO" sz="900">
            <a:latin typeface="Times New Roman" pitchFamily="18" charset="0"/>
            <a:cs typeface="Times New Roman" pitchFamily="18" charset="0"/>
          </a:endParaRPr>
        </a:p>
      </dgm:t>
    </dgm:pt>
    <dgm:pt modelId="{35CE7815-347E-4A95-915B-B0C219775E39}">
      <dgm:prSet phldrT="[Texto]" custT="1"/>
      <dgm:spPr/>
      <dgm:t>
        <a:bodyPr/>
        <a:lstStyle/>
        <a:p>
          <a:r>
            <a:rPr lang="es-CO" sz="900">
              <a:latin typeface="Times New Roman" pitchFamily="18" charset="0"/>
              <a:cs typeface="Times New Roman" pitchFamily="18" charset="0"/>
            </a:rPr>
            <a:t>Finalidad 1 Ciudadanos  con excelencia académica</a:t>
          </a:r>
        </a:p>
      </dgm:t>
    </dgm:pt>
    <dgm:pt modelId="{73A4CBDB-A2CA-44DF-936A-F6803FDE7D08}" type="parTrans" cxnId="{E3AA6E42-FFE5-4782-9197-99F55E21ED10}">
      <dgm:prSet/>
      <dgm:spPr/>
      <dgm:t>
        <a:bodyPr/>
        <a:lstStyle/>
        <a:p>
          <a:endParaRPr lang="es-CO"/>
        </a:p>
      </dgm:t>
    </dgm:pt>
    <dgm:pt modelId="{60F07DAC-A83D-4FF3-924C-1E40A4502302}" type="sibTrans" cxnId="{E3AA6E42-FFE5-4782-9197-99F55E21ED10}">
      <dgm:prSet/>
      <dgm:spPr/>
      <dgm:t>
        <a:bodyPr/>
        <a:lstStyle/>
        <a:p>
          <a:endParaRPr lang="es-CO"/>
        </a:p>
      </dgm:t>
    </dgm:pt>
    <dgm:pt modelId="{0CC29F46-450E-44AA-AAC1-823ABEE3F261}" type="pres">
      <dgm:prSet presAssocID="{FBF165CB-3CFE-49D9-B6C0-B04F9DB4B81C}" presName="hierChild1" presStyleCnt="0">
        <dgm:presLayoutVars>
          <dgm:chPref val="1"/>
          <dgm:dir/>
          <dgm:animOne val="branch"/>
          <dgm:animLvl val="lvl"/>
          <dgm:resizeHandles/>
        </dgm:presLayoutVars>
      </dgm:prSet>
      <dgm:spPr/>
      <dgm:t>
        <a:bodyPr/>
        <a:lstStyle/>
        <a:p>
          <a:endParaRPr lang="es-ES_tradnl"/>
        </a:p>
      </dgm:t>
    </dgm:pt>
    <dgm:pt modelId="{53CCCE91-248C-4ADD-901D-1198276A8D6E}" type="pres">
      <dgm:prSet presAssocID="{35CE7815-347E-4A95-915B-B0C219775E39}" presName="hierRoot1" presStyleCnt="0"/>
      <dgm:spPr/>
    </dgm:pt>
    <dgm:pt modelId="{E582ADD3-E225-4C94-9BA8-6FC2548AAE8D}" type="pres">
      <dgm:prSet presAssocID="{35CE7815-347E-4A95-915B-B0C219775E39}" presName="composite" presStyleCnt="0"/>
      <dgm:spPr/>
    </dgm:pt>
    <dgm:pt modelId="{D753D325-B670-4FBB-9B31-6C1BB204807F}" type="pres">
      <dgm:prSet presAssocID="{35CE7815-347E-4A95-915B-B0C219775E39}" presName="background" presStyleLbl="node0" presStyleIdx="0" presStyleCnt="5"/>
      <dgm:spPr/>
    </dgm:pt>
    <dgm:pt modelId="{0C2CEAA3-4FC7-4463-9018-B3D823EA9DC1}" type="pres">
      <dgm:prSet presAssocID="{35CE7815-347E-4A95-915B-B0C219775E39}" presName="text" presStyleLbl="fgAcc0" presStyleIdx="0" presStyleCnt="5" custLinFactNeighborX="15357" custLinFactNeighborY="197">
        <dgm:presLayoutVars>
          <dgm:chPref val="3"/>
        </dgm:presLayoutVars>
      </dgm:prSet>
      <dgm:spPr/>
      <dgm:t>
        <a:bodyPr/>
        <a:lstStyle/>
        <a:p>
          <a:endParaRPr lang="es-CO"/>
        </a:p>
      </dgm:t>
    </dgm:pt>
    <dgm:pt modelId="{FFB76589-1AB8-480F-A9D9-B23117B27ADE}" type="pres">
      <dgm:prSet presAssocID="{35CE7815-347E-4A95-915B-B0C219775E39}" presName="hierChild2" presStyleCnt="0"/>
      <dgm:spPr/>
    </dgm:pt>
    <dgm:pt modelId="{B646BB8F-D391-4701-864B-4528EDBD4BA1}" type="pres">
      <dgm:prSet presAssocID="{4EAC3D97-5E05-41B8-916A-DB2C3D8FC544}" presName="hierRoot1" presStyleCnt="0"/>
      <dgm:spPr/>
    </dgm:pt>
    <dgm:pt modelId="{1694502D-58E8-45C4-A866-5458F7190A74}" type="pres">
      <dgm:prSet presAssocID="{4EAC3D97-5E05-41B8-916A-DB2C3D8FC544}" presName="composite" presStyleCnt="0"/>
      <dgm:spPr/>
    </dgm:pt>
    <dgm:pt modelId="{33162681-1399-472C-869F-A12391C295BF}" type="pres">
      <dgm:prSet presAssocID="{4EAC3D97-5E05-41B8-916A-DB2C3D8FC544}" presName="background" presStyleLbl="node0" presStyleIdx="1" presStyleCnt="5"/>
      <dgm:spPr/>
    </dgm:pt>
    <dgm:pt modelId="{6B3BA1B1-3614-4186-8C49-4BC26CC0171D}" type="pres">
      <dgm:prSet presAssocID="{4EAC3D97-5E05-41B8-916A-DB2C3D8FC544}" presName="text" presStyleLbl="fgAcc0" presStyleIdx="1" presStyleCnt="5" custLinFactNeighborX="10957" custLinFactNeighborY="-1494">
        <dgm:presLayoutVars>
          <dgm:chPref val="3"/>
        </dgm:presLayoutVars>
      </dgm:prSet>
      <dgm:spPr/>
      <dgm:t>
        <a:bodyPr/>
        <a:lstStyle/>
        <a:p>
          <a:endParaRPr lang="es-CO"/>
        </a:p>
      </dgm:t>
    </dgm:pt>
    <dgm:pt modelId="{2D1358D5-F583-4868-B702-632336BC9D69}" type="pres">
      <dgm:prSet presAssocID="{4EAC3D97-5E05-41B8-916A-DB2C3D8FC544}" presName="hierChild2" presStyleCnt="0"/>
      <dgm:spPr/>
    </dgm:pt>
    <dgm:pt modelId="{5C49DE32-CFEB-4AAB-999D-1C58E8EE649E}" type="pres">
      <dgm:prSet presAssocID="{E9774947-E429-404F-A95E-AA5098FB6458}" presName="hierRoot1" presStyleCnt="0"/>
      <dgm:spPr/>
    </dgm:pt>
    <dgm:pt modelId="{0194E6EB-64C8-4C56-A9F6-634E915D493E}" type="pres">
      <dgm:prSet presAssocID="{E9774947-E429-404F-A95E-AA5098FB6458}" presName="composite" presStyleCnt="0"/>
      <dgm:spPr/>
    </dgm:pt>
    <dgm:pt modelId="{ED1A71E8-1E45-40CE-8FC3-7445FA401327}" type="pres">
      <dgm:prSet presAssocID="{E9774947-E429-404F-A95E-AA5098FB6458}" presName="background" presStyleLbl="node0" presStyleIdx="2" presStyleCnt="5"/>
      <dgm:spPr/>
    </dgm:pt>
    <dgm:pt modelId="{946243CE-6822-4846-8B79-9F6BE7398924}" type="pres">
      <dgm:prSet presAssocID="{E9774947-E429-404F-A95E-AA5098FB6458}" presName="text" presStyleLbl="fgAcc0" presStyleIdx="2" presStyleCnt="5" custLinFactNeighborX="8528" custLinFactNeighborY="-6518">
        <dgm:presLayoutVars>
          <dgm:chPref val="3"/>
        </dgm:presLayoutVars>
      </dgm:prSet>
      <dgm:spPr/>
      <dgm:t>
        <a:bodyPr/>
        <a:lstStyle/>
        <a:p>
          <a:endParaRPr lang="es-CO"/>
        </a:p>
      </dgm:t>
    </dgm:pt>
    <dgm:pt modelId="{CAC3C1BB-8E67-4A87-9799-22A334F879CE}" type="pres">
      <dgm:prSet presAssocID="{E9774947-E429-404F-A95E-AA5098FB6458}" presName="hierChild2" presStyleCnt="0"/>
      <dgm:spPr/>
    </dgm:pt>
    <dgm:pt modelId="{87739EFB-8BD4-4A12-AB85-420B957D0A10}" type="pres">
      <dgm:prSet presAssocID="{E36C18B8-B7D0-498A-83A8-F267FF045768}" presName="Name10" presStyleLbl="parChTrans1D2" presStyleIdx="0" presStyleCnt="1"/>
      <dgm:spPr/>
      <dgm:t>
        <a:bodyPr/>
        <a:lstStyle/>
        <a:p>
          <a:endParaRPr lang="es-ES_tradnl"/>
        </a:p>
      </dgm:t>
    </dgm:pt>
    <dgm:pt modelId="{FE043652-91C9-42DB-8224-8DCD0C24A1B2}" type="pres">
      <dgm:prSet presAssocID="{F045BFB1-D243-4BCD-888A-F325676DCBD9}" presName="hierRoot2" presStyleCnt="0"/>
      <dgm:spPr/>
    </dgm:pt>
    <dgm:pt modelId="{414A9814-07BD-4B2F-8552-9AA258A28EA8}" type="pres">
      <dgm:prSet presAssocID="{F045BFB1-D243-4BCD-888A-F325676DCBD9}" presName="composite2" presStyleCnt="0"/>
      <dgm:spPr/>
    </dgm:pt>
    <dgm:pt modelId="{658B89F7-B2EE-45F3-991B-F64868674945}" type="pres">
      <dgm:prSet presAssocID="{F045BFB1-D243-4BCD-888A-F325676DCBD9}" presName="background2" presStyleLbl="node2" presStyleIdx="0" presStyleCnt="1"/>
      <dgm:spPr/>
    </dgm:pt>
    <dgm:pt modelId="{79AB58A4-1A79-485F-A932-CD10ABEDAC18}" type="pres">
      <dgm:prSet presAssocID="{F045BFB1-D243-4BCD-888A-F325676DCBD9}" presName="text2" presStyleLbl="fgAcc2" presStyleIdx="0" presStyleCnt="1" custScaleX="261282" custScaleY="129765" custLinFactNeighborX="13551" custLinFactNeighborY="-19699">
        <dgm:presLayoutVars>
          <dgm:chPref val="3"/>
        </dgm:presLayoutVars>
      </dgm:prSet>
      <dgm:spPr/>
      <dgm:t>
        <a:bodyPr/>
        <a:lstStyle/>
        <a:p>
          <a:endParaRPr lang="es-CO"/>
        </a:p>
      </dgm:t>
    </dgm:pt>
    <dgm:pt modelId="{B269F60F-0710-4CA5-A190-581765F44729}" type="pres">
      <dgm:prSet presAssocID="{F045BFB1-D243-4BCD-888A-F325676DCBD9}" presName="hierChild3" presStyleCnt="0"/>
      <dgm:spPr/>
    </dgm:pt>
    <dgm:pt modelId="{9787E105-54A0-43F8-8929-DB25BA6D9678}" type="pres">
      <dgm:prSet presAssocID="{D57643F8-8C10-4A3A-AE4D-6A1E4B63F078}" presName="Name17" presStyleLbl="parChTrans1D3" presStyleIdx="0" presStyleCnt="1"/>
      <dgm:spPr/>
      <dgm:t>
        <a:bodyPr/>
        <a:lstStyle/>
        <a:p>
          <a:endParaRPr lang="es-ES_tradnl"/>
        </a:p>
      </dgm:t>
    </dgm:pt>
    <dgm:pt modelId="{D74887BA-D05E-41CA-A429-43AED62F2670}" type="pres">
      <dgm:prSet presAssocID="{08BE38F5-0A4B-4733-9497-E1F6EEF3E976}" presName="hierRoot3" presStyleCnt="0"/>
      <dgm:spPr/>
    </dgm:pt>
    <dgm:pt modelId="{AB6CE99D-AE8D-4C90-AA60-AB19EFDE598A}" type="pres">
      <dgm:prSet presAssocID="{08BE38F5-0A4B-4733-9497-E1F6EEF3E976}" presName="composite3" presStyleCnt="0"/>
      <dgm:spPr/>
    </dgm:pt>
    <dgm:pt modelId="{5EE83815-CB34-4FB9-8479-DC978933F703}" type="pres">
      <dgm:prSet presAssocID="{08BE38F5-0A4B-4733-9497-E1F6EEF3E976}" presName="background3" presStyleLbl="node3" presStyleIdx="0" presStyleCnt="1"/>
      <dgm:spPr/>
    </dgm:pt>
    <dgm:pt modelId="{87543E5A-8F84-423D-B500-2A0B279572E5}" type="pres">
      <dgm:prSet presAssocID="{08BE38F5-0A4B-4733-9497-E1F6EEF3E976}" presName="text3" presStyleLbl="fgAcc3" presStyleIdx="0" presStyleCnt="1" custScaleX="251569" custScaleY="84013" custLinFactNeighborX="13551" custLinFactNeighborY="-16710">
        <dgm:presLayoutVars>
          <dgm:chPref val="3"/>
        </dgm:presLayoutVars>
      </dgm:prSet>
      <dgm:spPr/>
      <dgm:t>
        <a:bodyPr/>
        <a:lstStyle/>
        <a:p>
          <a:endParaRPr lang="es-ES_tradnl"/>
        </a:p>
      </dgm:t>
    </dgm:pt>
    <dgm:pt modelId="{7DA0C6C9-FB34-473F-8D45-ACC6B8C30D4D}" type="pres">
      <dgm:prSet presAssocID="{08BE38F5-0A4B-4733-9497-E1F6EEF3E976}" presName="hierChild4" presStyleCnt="0"/>
      <dgm:spPr/>
    </dgm:pt>
    <dgm:pt modelId="{183BAE5F-DEEB-4EF4-84FC-113FD02B238D}" type="pres">
      <dgm:prSet presAssocID="{7B0251BD-ED75-44DB-B7D5-8A20D0C9E0CB}" presName="Name23" presStyleLbl="parChTrans1D4" presStyleIdx="0" presStyleCnt="5"/>
      <dgm:spPr/>
      <dgm:t>
        <a:bodyPr/>
        <a:lstStyle/>
        <a:p>
          <a:endParaRPr lang="es-ES_tradnl"/>
        </a:p>
      </dgm:t>
    </dgm:pt>
    <dgm:pt modelId="{4C17BFD0-4466-4061-8243-178D2168CCEA}" type="pres">
      <dgm:prSet presAssocID="{A7CB5C50-3187-4680-BFBA-C60BCD037AFF}" presName="hierRoot4" presStyleCnt="0"/>
      <dgm:spPr/>
    </dgm:pt>
    <dgm:pt modelId="{FE4195CB-54A6-44E0-9811-DE77EAA49B28}" type="pres">
      <dgm:prSet presAssocID="{A7CB5C50-3187-4680-BFBA-C60BCD037AFF}" presName="composite4" presStyleCnt="0"/>
      <dgm:spPr/>
    </dgm:pt>
    <dgm:pt modelId="{B5F30336-6C9C-4DB7-BB45-DC15294F33F3}" type="pres">
      <dgm:prSet presAssocID="{A7CB5C50-3187-4680-BFBA-C60BCD037AFF}" presName="background4" presStyleLbl="node4" presStyleIdx="0" presStyleCnt="5"/>
      <dgm:spPr/>
    </dgm:pt>
    <dgm:pt modelId="{30111A0B-BBBF-49C2-AC8C-F111EA032954}" type="pres">
      <dgm:prSet presAssocID="{A7CB5C50-3187-4680-BFBA-C60BCD037AFF}" presName="text4" presStyleLbl="fgAcc4" presStyleIdx="0" presStyleCnt="5" custScaleY="160439">
        <dgm:presLayoutVars>
          <dgm:chPref val="3"/>
        </dgm:presLayoutVars>
      </dgm:prSet>
      <dgm:spPr/>
      <dgm:t>
        <a:bodyPr/>
        <a:lstStyle/>
        <a:p>
          <a:endParaRPr lang="es-ES_tradnl"/>
        </a:p>
      </dgm:t>
    </dgm:pt>
    <dgm:pt modelId="{CB1FAD4A-AC4C-462D-B221-3DCC153CEA0E}" type="pres">
      <dgm:prSet presAssocID="{A7CB5C50-3187-4680-BFBA-C60BCD037AFF}" presName="hierChild5" presStyleCnt="0"/>
      <dgm:spPr/>
    </dgm:pt>
    <dgm:pt modelId="{ECD292D1-C580-4DBC-A05C-CC160B9D8C79}" type="pres">
      <dgm:prSet presAssocID="{AC737CB5-C5ED-4ABB-94F5-063FF055F932}" presName="Name23" presStyleLbl="parChTrans1D4" presStyleIdx="1" presStyleCnt="5"/>
      <dgm:spPr/>
      <dgm:t>
        <a:bodyPr/>
        <a:lstStyle/>
        <a:p>
          <a:endParaRPr lang="es-ES_tradnl"/>
        </a:p>
      </dgm:t>
    </dgm:pt>
    <dgm:pt modelId="{6C0880AF-589C-482A-B4EB-77EECCCCC0EF}" type="pres">
      <dgm:prSet presAssocID="{D827F2F9-11A2-439F-9BB8-E3285FED73A2}" presName="hierRoot4" presStyleCnt="0"/>
      <dgm:spPr/>
    </dgm:pt>
    <dgm:pt modelId="{646EB991-05D6-49CA-820D-CBA71EEE4454}" type="pres">
      <dgm:prSet presAssocID="{D827F2F9-11A2-439F-9BB8-E3285FED73A2}" presName="composite4" presStyleCnt="0"/>
      <dgm:spPr/>
    </dgm:pt>
    <dgm:pt modelId="{9237A020-0599-4812-B18D-942DDEC0B660}" type="pres">
      <dgm:prSet presAssocID="{D827F2F9-11A2-439F-9BB8-E3285FED73A2}" presName="background4" presStyleLbl="node4" presStyleIdx="1" presStyleCnt="5"/>
      <dgm:spPr/>
    </dgm:pt>
    <dgm:pt modelId="{EE2BB23D-37BD-4799-8500-3F1198EF4911}" type="pres">
      <dgm:prSet presAssocID="{D827F2F9-11A2-439F-9BB8-E3285FED73A2}" presName="text4" presStyleLbl="fgAcc4" presStyleIdx="1" presStyleCnt="5" custScaleY="240731">
        <dgm:presLayoutVars>
          <dgm:chPref val="3"/>
        </dgm:presLayoutVars>
      </dgm:prSet>
      <dgm:spPr/>
      <dgm:t>
        <a:bodyPr/>
        <a:lstStyle/>
        <a:p>
          <a:endParaRPr lang="es-ES_tradnl"/>
        </a:p>
      </dgm:t>
    </dgm:pt>
    <dgm:pt modelId="{C570A3D1-D484-41EC-BB2C-8C04E2A0E445}" type="pres">
      <dgm:prSet presAssocID="{D827F2F9-11A2-439F-9BB8-E3285FED73A2}" presName="hierChild5" presStyleCnt="0"/>
      <dgm:spPr/>
    </dgm:pt>
    <dgm:pt modelId="{C1D19851-98E4-4F3C-9B41-2A5BFD89D655}" type="pres">
      <dgm:prSet presAssocID="{546EF2B6-3A7A-4686-87E7-A846CFC19EC1}" presName="Name23" presStyleLbl="parChTrans1D4" presStyleIdx="2" presStyleCnt="5"/>
      <dgm:spPr/>
      <dgm:t>
        <a:bodyPr/>
        <a:lstStyle/>
        <a:p>
          <a:endParaRPr lang="es-ES_tradnl"/>
        </a:p>
      </dgm:t>
    </dgm:pt>
    <dgm:pt modelId="{F2DBE1B4-B995-4444-848D-13FB262EE2B8}" type="pres">
      <dgm:prSet presAssocID="{B7C64FF3-4B38-4417-9C58-B1B3A3116E05}" presName="hierRoot4" presStyleCnt="0"/>
      <dgm:spPr/>
    </dgm:pt>
    <dgm:pt modelId="{FA6EFD84-CE02-4C6E-BD5F-97ED5DD27442}" type="pres">
      <dgm:prSet presAssocID="{B7C64FF3-4B38-4417-9C58-B1B3A3116E05}" presName="composite4" presStyleCnt="0"/>
      <dgm:spPr/>
    </dgm:pt>
    <dgm:pt modelId="{38422559-A297-4BF6-9765-56A6E46B525E}" type="pres">
      <dgm:prSet presAssocID="{B7C64FF3-4B38-4417-9C58-B1B3A3116E05}" presName="background4" presStyleLbl="node4" presStyleIdx="2" presStyleCnt="5"/>
      <dgm:spPr/>
    </dgm:pt>
    <dgm:pt modelId="{2422BC7A-F732-45C6-950D-77846A0D5081}" type="pres">
      <dgm:prSet presAssocID="{B7C64FF3-4B38-4417-9C58-B1B3A3116E05}" presName="text4" presStyleLbl="fgAcc4" presStyleIdx="2" presStyleCnt="5" custScaleY="280840">
        <dgm:presLayoutVars>
          <dgm:chPref val="3"/>
        </dgm:presLayoutVars>
      </dgm:prSet>
      <dgm:spPr/>
      <dgm:t>
        <a:bodyPr/>
        <a:lstStyle/>
        <a:p>
          <a:endParaRPr lang="es-CO"/>
        </a:p>
      </dgm:t>
    </dgm:pt>
    <dgm:pt modelId="{42E03779-060B-4668-B003-72889C683B25}" type="pres">
      <dgm:prSet presAssocID="{B7C64FF3-4B38-4417-9C58-B1B3A3116E05}" presName="hierChild5" presStyleCnt="0"/>
      <dgm:spPr/>
    </dgm:pt>
    <dgm:pt modelId="{47C9DB39-E0C1-43E8-9552-02D83F557F92}" type="pres">
      <dgm:prSet presAssocID="{B2881294-EB80-4D46-9592-8ACB35717DA0}" presName="Name23" presStyleLbl="parChTrans1D4" presStyleIdx="3" presStyleCnt="5"/>
      <dgm:spPr/>
      <dgm:t>
        <a:bodyPr/>
        <a:lstStyle/>
        <a:p>
          <a:endParaRPr lang="es-ES_tradnl"/>
        </a:p>
      </dgm:t>
    </dgm:pt>
    <dgm:pt modelId="{ABCCA3E0-6412-40AC-B409-8A8519FDA6C2}" type="pres">
      <dgm:prSet presAssocID="{6553B1F1-89A0-4677-8FEA-3712ED37216E}" presName="hierRoot4" presStyleCnt="0"/>
      <dgm:spPr/>
    </dgm:pt>
    <dgm:pt modelId="{F53AE524-8BF6-488C-8753-40E784C4194C}" type="pres">
      <dgm:prSet presAssocID="{6553B1F1-89A0-4677-8FEA-3712ED37216E}" presName="composite4" presStyleCnt="0"/>
      <dgm:spPr/>
    </dgm:pt>
    <dgm:pt modelId="{AD07592E-D97D-4829-8629-CEC29D74EF6C}" type="pres">
      <dgm:prSet presAssocID="{6553B1F1-89A0-4677-8FEA-3712ED37216E}" presName="background4" presStyleLbl="node4" presStyleIdx="3" presStyleCnt="5"/>
      <dgm:spPr/>
    </dgm:pt>
    <dgm:pt modelId="{2D664A93-EC00-488B-9CDD-53907332DD1F}" type="pres">
      <dgm:prSet presAssocID="{6553B1F1-89A0-4677-8FEA-3712ED37216E}" presName="text4" presStyleLbl="fgAcc4" presStyleIdx="3" presStyleCnt="5" custScaleY="209690">
        <dgm:presLayoutVars>
          <dgm:chPref val="3"/>
        </dgm:presLayoutVars>
      </dgm:prSet>
      <dgm:spPr/>
      <dgm:t>
        <a:bodyPr/>
        <a:lstStyle/>
        <a:p>
          <a:endParaRPr lang="es-CO"/>
        </a:p>
      </dgm:t>
    </dgm:pt>
    <dgm:pt modelId="{E59589FB-678F-42B9-886C-D877715ECF86}" type="pres">
      <dgm:prSet presAssocID="{6553B1F1-89A0-4677-8FEA-3712ED37216E}" presName="hierChild5" presStyleCnt="0"/>
      <dgm:spPr/>
    </dgm:pt>
    <dgm:pt modelId="{3796B078-6E74-4EEE-B247-7993CF4E45CA}" type="pres">
      <dgm:prSet presAssocID="{AE6A22DE-EF8A-4AB3-B55A-17FC45F504CF}" presName="Name23" presStyleLbl="parChTrans1D4" presStyleIdx="4" presStyleCnt="5"/>
      <dgm:spPr/>
      <dgm:t>
        <a:bodyPr/>
        <a:lstStyle/>
        <a:p>
          <a:endParaRPr lang="es-ES_tradnl"/>
        </a:p>
      </dgm:t>
    </dgm:pt>
    <dgm:pt modelId="{5AF735CB-367C-4021-AD1E-D29C98612452}" type="pres">
      <dgm:prSet presAssocID="{BCFE4280-90A1-4E5D-A3B7-AE18C62353DD}" presName="hierRoot4" presStyleCnt="0"/>
      <dgm:spPr/>
    </dgm:pt>
    <dgm:pt modelId="{4447E4B5-8B6E-40DA-AA0D-E3CCFEFC6502}" type="pres">
      <dgm:prSet presAssocID="{BCFE4280-90A1-4E5D-A3B7-AE18C62353DD}" presName="composite4" presStyleCnt="0"/>
      <dgm:spPr/>
    </dgm:pt>
    <dgm:pt modelId="{4E257C34-F005-4100-BF06-5EEA0A9BA2F2}" type="pres">
      <dgm:prSet presAssocID="{BCFE4280-90A1-4E5D-A3B7-AE18C62353DD}" presName="background4" presStyleLbl="node4" presStyleIdx="4" presStyleCnt="5"/>
      <dgm:spPr/>
    </dgm:pt>
    <dgm:pt modelId="{ED711DB1-B2B8-4A37-A9CA-EBC51CAFF9E5}" type="pres">
      <dgm:prSet presAssocID="{BCFE4280-90A1-4E5D-A3B7-AE18C62353DD}" presName="text4" presStyleLbl="fgAcc4" presStyleIdx="4" presStyleCnt="5" custScaleX="108062" custScaleY="350904">
        <dgm:presLayoutVars>
          <dgm:chPref val="3"/>
        </dgm:presLayoutVars>
      </dgm:prSet>
      <dgm:spPr/>
      <dgm:t>
        <a:bodyPr/>
        <a:lstStyle/>
        <a:p>
          <a:endParaRPr lang="es-CO"/>
        </a:p>
      </dgm:t>
    </dgm:pt>
    <dgm:pt modelId="{6B0A8D93-3754-4672-8C1B-C62CB1E28637}" type="pres">
      <dgm:prSet presAssocID="{BCFE4280-90A1-4E5D-A3B7-AE18C62353DD}" presName="hierChild5" presStyleCnt="0"/>
      <dgm:spPr/>
    </dgm:pt>
    <dgm:pt modelId="{0D9DE1A2-027D-4646-AE35-9504B97ED8D6}" type="pres">
      <dgm:prSet presAssocID="{BB1E0A99-BF68-40DB-9625-0D5CE9011581}" presName="hierRoot1" presStyleCnt="0"/>
      <dgm:spPr/>
    </dgm:pt>
    <dgm:pt modelId="{1AC9AC6C-11E9-4C55-B06E-EB90E4244A49}" type="pres">
      <dgm:prSet presAssocID="{BB1E0A99-BF68-40DB-9625-0D5CE9011581}" presName="composite" presStyleCnt="0"/>
      <dgm:spPr/>
    </dgm:pt>
    <dgm:pt modelId="{B851DCAC-7567-46E1-B169-DE463500901E}" type="pres">
      <dgm:prSet presAssocID="{BB1E0A99-BF68-40DB-9625-0D5CE9011581}" presName="background" presStyleLbl="node0" presStyleIdx="3" presStyleCnt="5"/>
      <dgm:spPr/>
    </dgm:pt>
    <dgm:pt modelId="{6ADE595A-84E4-44CF-93AD-5CA2028C83E8}" type="pres">
      <dgm:prSet presAssocID="{BB1E0A99-BF68-40DB-9625-0D5CE9011581}" presName="text" presStyleLbl="fgAcc0" presStyleIdx="3" presStyleCnt="5" custScaleX="117616" custScaleY="112598" custLinFactNeighborX="1684" custLinFactNeighborY="-18352">
        <dgm:presLayoutVars>
          <dgm:chPref val="3"/>
        </dgm:presLayoutVars>
      </dgm:prSet>
      <dgm:spPr/>
      <dgm:t>
        <a:bodyPr/>
        <a:lstStyle/>
        <a:p>
          <a:endParaRPr lang="es-ES_tradnl"/>
        </a:p>
      </dgm:t>
    </dgm:pt>
    <dgm:pt modelId="{40F1A2E0-B9FA-4603-A2C1-24A39030DBD2}" type="pres">
      <dgm:prSet presAssocID="{BB1E0A99-BF68-40DB-9625-0D5CE9011581}" presName="hierChild2" presStyleCnt="0"/>
      <dgm:spPr/>
    </dgm:pt>
    <dgm:pt modelId="{4DF0C315-69B5-4E5F-AC6F-1901F440DA76}" type="pres">
      <dgm:prSet presAssocID="{4152F9CE-B7F7-45E5-9FF7-4931570DF430}" presName="hierRoot1" presStyleCnt="0"/>
      <dgm:spPr/>
    </dgm:pt>
    <dgm:pt modelId="{482AAC59-89E2-4A8A-9EC6-C53B7278B2E3}" type="pres">
      <dgm:prSet presAssocID="{4152F9CE-B7F7-45E5-9FF7-4931570DF430}" presName="composite" presStyleCnt="0"/>
      <dgm:spPr/>
    </dgm:pt>
    <dgm:pt modelId="{37EECCC0-6E8C-4542-87C9-ADAC0EC25AAC}" type="pres">
      <dgm:prSet presAssocID="{4152F9CE-B7F7-45E5-9FF7-4931570DF430}" presName="background" presStyleLbl="node0" presStyleIdx="4" presStyleCnt="5"/>
      <dgm:spPr/>
    </dgm:pt>
    <dgm:pt modelId="{A01325B6-0489-4164-85EC-283DAF114C3E}" type="pres">
      <dgm:prSet presAssocID="{4152F9CE-B7F7-45E5-9FF7-4931570DF430}" presName="text" presStyleLbl="fgAcc0" presStyleIdx="4" presStyleCnt="5" custScaleY="171394" custLinFactNeighborX="-6143" custLinFactNeighborY="-9849">
        <dgm:presLayoutVars>
          <dgm:chPref val="3"/>
        </dgm:presLayoutVars>
      </dgm:prSet>
      <dgm:spPr/>
      <dgm:t>
        <a:bodyPr/>
        <a:lstStyle/>
        <a:p>
          <a:endParaRPr lang="es-ES_tradnl"/>
        </a:p>
      </dgm:t>
    </dgm:pt>
    <dgm:pt modelId="{599C2781-9035-452B-A8D8-78640EB42D7C}" type="pres">
      <dgm:prSet presAssocID="{4152F9CE-B7F7-45E5-9FF7-4931570DF430}" presName="hierChild2" presStyleCnt="0"/>
      <dgm:spPr/>
    </dgm:pt>
  </dgm:ptLst>
  <dgm:cxnLst>
    <dgm:cxn modelId="{A7D38EDB-F656-4475-BF85-63150E4156D7}" type="presOf" srcId="{D827F2F9-11A2-439F-9BB8-E3285FED73A2}" destId="{EE2BB23D-37BD-4799-8500-3F1198EF4911}" srcOrd="0" destOrd="0" presId="urn:microsoft.com/office/officeart/2005/8/layout/hierarchy1"/>
    <dgm:cxn modelId="{CBE5DFB8-2D32-438E-81EB-2E84D0FFC04C}" type="presOf" srcId="{BB1E0A99-BF68-40DB-9625-0D5CE9011581}" destId="{6ADE595A-84E4-44CF-93AD-5CA2028C83E8}" srcOrd="0" destOrd="0" presId="urn:microsoft.com/office/officeart/2005/8/layout/hierarchy1"/>
    <dgm:cxn modelId="{6B9FC95F-7FA2-4746-98A5-2F3276BD7916}" type="presOf" srcId="{D57643F8-8C10-4A3A-AE4D-6A1E4B63F078}" destId="{9787E105-54A0-43F8-8929-DB25BA6D9678}" srcOrd="0" destOrd="0" presId="urn:microsoft.com/office/officeart/2005/8/layout/hierarchy1"/>
    <dgm:cxn modelId="{07CB8952-C699-411C-BE74-B88E0A96D927}" srcId="{FBF165CB-3CFE-49D9-B6C0-B04F9DB4B81C}" destId="{E9774947-E429-404F-A95E-AA5098FB6458}" srcOrd="2" destOrd="0" parTransId="{045C849C-DF2F-41E5-B5B9-7618FE4917F6}" sibTransId="{EBBC122B-03D7-4297-806C-0BEDBE15EAD8}"/>
    <dgm:cxn modelId="{051EF088-FC0A-4AB7-BE0A-08423C657035}" type="presOf" srcId="{08BE38F5-0A4B-4733-9497-E1F6EEF3E976}" destId="{87543E5A-8F84-423D-B500-2A0B279572E5}" srcOrd="0" destOrd="0" presId="urn:microsoft.com/office/officeart/2005/8/layout/hierarchy1"/>
    <dgm:cxn modelId="{50DC2FC6-8DD1-48A2-9CED-9EBCF761C3B1}" srcId="{F045BFB1-D243-4BCD-888A-F325676DCBD9}" destId="{08BE38F5-0A4B-4733-9497-E1F6EEF3E976}" srcOrd="0" destOrd="0" parTransId="{D57643F8-8C10-4A3A-AE4D-6A1E4B63F078}" sibTransId="{E8C28423-1F57-42E1-BE00-C109A5231ABB}"/>
    <dgm:cxn modelId="{2A29CFBD-6B13-4DEB-A0EB-268F1F1E8EDD}" srcId="{08BE38F5-0A4B-4733-9497-E1F6EEF3E976}" destId="{B7C64FF3-4B38-4417-9C58-B1B3A3116E05}" srcOrd="2" destOrd="0" parTransId="{546EF2B6-3A7A-4686-87E7-A846CFC19EC1}" sibTransId="{5A06BC23-1D38-410E-85B1-2ED7869EF0D6}"/>
    <dgm:cxn modelId="{962896F0-D0B2-4765-8B6F-345EF0084EA5}" type="presOf" srcId="{F045BFB1-D243-4BCD-888A-F325676DCBD9}" destId="{79AB58A4-1A79-485F-A932-CD10ABEDAC18}" srcOrd="0" destOrd="0" presId="urn:microsoft.com/office/officeart/2005/8/layout/hierarchy1"/>
    <dgm:cxn modelId="{64E2C7EA-DD37-4654-9C85-2DF4B36EA5C8}" type="presOf" srcId="{FBF165CB-3CFE-49D9-B6C0-B04F9DB4B81C}" destId="{0CC29F46-450E-44AA-AAC1-823ABEE3F261}" srcOrd="0" destOrd="0" presId="urn:microsoft.com/office/officeart/2005/8/layout/hierarchy1"/>
    <dgm:cxn modelId="{188C3AAB-B404-468D-B30B-9B067B2CABD8}" type="presOf" srcId="{35CE7815-347E-4A95-915B-B0C219775E39}" destId="{0C2CEAA3-4FC7-4463-9018-B3D823EA9DC1}" srcOrd="0" destOrd="0" presId="urn:microsoft.com/office/officeart/2005/8/layout/hierarchy1"/>
    <dgm:cxn modelId="{A3CC2BF1-888F-42B9-8CF9-722AD835373C}" type="presOf" srcId="{AE6A22DE-EF8A-4AB3-B55A-17FC45F504CF}" destId="{3796B078-6E74-4EEE-B247-7993CF4E45CA}" srcOrd="0" destOrd="0" presId="urn:microsoft.com/office/officeart/2005/8/layout/hierarchy1"/>
    <dgm:cxn modelId="{D7E251F5-C13A-4DF3-97AA-638DEDBAE0F7}" type="presOf" srcId="{6553B1F1-89A0-4677-8FEA-3712ED37216E}" destId="{2D664A93-EC00-488B-9CDD-53907332DD1F}" srcOrd="0" destOrd="0" presId="urn:microsoft.com/office/officeart/2005/8/layout/hierarchy1"/>
    <dgm:cxn modelId="{22F430D2-83D7-4BF9-9D1B-7A4C8A53AC8D}" srcId="{08BE38F5-0A4B-4733-9497-E1F6EEF3E976}" destId="{BCFE4280-90A1-4E5D-A3B7-AE18C62353DD}" srcOrd="4" destOrd="0" parTransId="{AE6A22DE-EF8A-4AB3-B55A-17FC45F504CF}" sibTransId="{CB7531C2-39FE-4648-A1CD-43D4C8FEE691}"/>
    <dgm:cxn modelId="{C0790689-8B08-4320-9B72-120FA7772A16}" type="presOf" srcId="{4EAC3D97-5E05-41B8-916A-DB2C3D8FC544}" destId="{6B3BA1B1-3614-4186-8C49-4BC26CC0171D}" srcOrd="0" destOrd="0" presId="urn:microsoft.com/office/officeart/2005/8/layout/hierarchy1"/>
    <dgm:cxn modelId="{99D14708-C7EB-415E-ABA6-BB903F2B015D}" type="presOf" srcId="{BCFE4280-90A1-4E5D-A3B7-AE18C62353DD}" destId="{ED711DB1-B2B8-4A37-A9CA-EBC51CAFF9E5}" srcOrd="0" destOrd="0" presId="urn:microsoft.com/office/officeart/2005/8/layout/hierarchy1"/>
    <dgm:cxn modelId="{592276DB-61C4-4587-8671-BC2DBA173ECB}" type="presOf" srcId="{AC737CB5-C5ED-4ABB-94F5-063FF055F932}" destId="{ECD292D1-C580-4DBC-A05C-CC160B9D8C79}" srcOrd="0" destOrd="0" presId="urn:microsoft.com/office/officeart/2005/8/layout/hierarchy1"/>
    <dgm:cxn modelId="{CD76F762-F930-41FA-81D2-B11A83376B2E}" type="presOf" srcId="{7B0251BD-ED75-44DB-B7D5-8A20D0C9E0CB}" destId="{183BAE5F-DEEB-4EF4-84FC-113FD02B238D}" srcOrd="0" destOrd="0" presId="urn:microsoft.com/office/officeart/2005/8/layout/hierarchy1"/>
    <dgm:cxn modelId="{7C8D5258-A094-4CED-A0C6-781BEFC69BB8}" type="presOf" srcId="{4152F9CE-B7F7-45E5-9FF7-4931570DF430}" destId="{A01325B6-0489-4164-85EC-283DAF114C3E}" srcOrd="0" destOrd="0" presId="urn:microsoft.com/office/officeart/2005/8/layout/hierarchy1"/>
    <dgm:cxn modelId="{EBB161C1-B41C-4333-B3E7-80CBB247C57A}" type="presOf" srcId="{A7CB5C50-3187-4680-BFBA-C60BCD037AFF}" destId="{30111A0B-BBBF-49C2-AC8C-F111EA032954}" srcOrd="0" destOrd="0" presId="urn:microsoft.com/office/officeart/2005/8/layout/hierarchy1"/>
    <dgm:cxn modelId="{82406A2A-F493-4C0B-834A-C0380720D7E7}" type="presOf" srcId="{B2881294-EB80-4D46-9592-8ACB35717DA0}" destId="{47C9DB39-E0C1-43E8-9552-02D83F557F92}" srcOrd="0" destOrd="0" presId="urn:microsoft.com/office/officeart/2005/8/layout/hierarchy1"/>
    <dgm:cxn modelId="{B551EC18-7EC5-4342-89F0-64E2DFB5B51D}" type="presOf" srcId="{546EF2B6-3A7A-4686-87E7-A846CFC19EC1}" destId="{C1D19851-98E4-4F3C-9B41-2A5BFD89D655}" srcOrd="0" destOrd="0" presId="urn:microsoft.com/office/officeart/2005/8/layout/hierarchy1"/>
    <dgm:cxn modelId="{5FD06487-92FF-4964-9893-6CE17DD78A04}" type="presOf" srcId="{E36C18B8-B7D0-498A-83A8-F267FF045768}" destId="{87739EFB-8BD4-4A12-AB85-420B957D0A10}" srcOrd="0" destOrd="0" presId="urn:microsoft.com/office/officeart/2005/8/layout/hierarchy1"/>
    <dgm:cxn modelId="{F05D643A-BBB3-4B1A-84B3-29BA6A75E01C}" srcId="{FBF165CB-3CFE-49D9-B6C0-B04F9DB4B81C}" destId="{BB1E0A99-BF68-40DB-9625-0D5CE9011581}" srcOrd="3" destOrd="0" parTransId="{616D8820-7986-4BEF-B438-32FD78FC2A23}" sibTransId="{053893AE-E3A2-45F0-96EA-0A8B9E79886A}"/>
    <dgm:cxn modelId="{65A4CBBD-1A95-406A-9D25-595890017685}" type="presOf" srcId="{B7C64FF3-4B38-4417-9C58-B1B3A3116E05}" destId="{2422BC7A-F732-45C6-950D-77846A0D5081}" srcOrd="0" destOrd="0" presId="urn:microsoft.com/office/officeart/2005/8/layout/hierarchy1"/>
    <dgm:cxn modelId="{05FD860F-0F97-4486-8A5D-835529DB607C}" type="presOf" srcId="{E9774947-E429-404F-A95E-AA5098FB6458}" destId="{946243CE-6822-4846-8B79-9F6BE7398924}" srcOrd="0" destOrd="0" presId="urn:microsoft.com/office/officeart/2005/8/layout/hierarchy1"/>
    <dgm:cxn modelId="{F6396F22-635F-4391-A1CB-F4214090D758}" srcId="{E9774947-E429-404F-A95E-AA5098FB6458}" destId="{F045BFB1-D243-4BCD-888A-F325676DCBD9}" srcOrd="0" destOrd="0" parTransId="{E36C18B8-B7D0-498A-83A8-F267FF045768}" sibTransId="{6DA07B44-6858-42D5-AD8F-F88FA33C58FE}"/>
    <dgm:cxn modelId="{E3AA6E42-FFE5-4782-9197-99F55E21ED10}" srcId="{FBF165CB-3CFE-49D9-B6C0-B04F9DB4B81C}" destId="{35CE7815-347E-4A95-915B-B0C219775E39}" srcOrd="0" destOrd="0" parTransId="{73A4CBDB-A2CA-44DF-936A-F6803FDE7D08}" sibTransId="{60F07DAC-A83D-4FF3-924C-1E40A4502302}"/>
    <dgm:cxn modelId="{D27D7478-2272-4780-A2FE-89FFF440178E}" srcId="{08BE38F5-0A4B-4733-9497-E1F6EEF3E976}" destId="{A7CB5C50-3187-4680-BFBA-C60BCD037AFF}" srcOrd="0" destOrd="0" parTransId="{7B0251BD-ED75-44DB-B7D5-8A20D0C9E0CB}" sibTransId="{6945AC92-2893-451F-A4D4-C60B1284A240}"/>
    <dgm:cxn modelId="{714DF0B4-F4AE-4386-AF70-96834ED93C20}" srcId="{08BE38F5-0A4B-4733-9497-E1F6EEF3E976}" destId="{6553B1F1-89A0-4677-8FEA-3712ED37216E}" srcOrd="3" destOrd="0" parTransId="{B2881294-EB80-4D46-9592-8ACB35717DA0}" sibTransId="{F1397AFD-90B6-4487-8218-7D756A121CA4}"/>
    <dgm:cxn modelId="{B269D357-4B5E-4F69-8EA5-F228DAA8E691}" srcId="{FBF165CB-3CFE-49D9-B6C0-B04F9DB4B81C}" destId="{4EAC3D97-5E05-41B8-916A-DB2C3D8FC544}" srcOrd="1" destOrd="0" parTransId="{BA2A3ED8-E7D5-47F7-BB4D-E84110D7DE18}" sibTransId="{E48FCB40-AD78-4FB2-8C86-C422EB1CB514}"/>
    <dgm:cxn modelId="{5B9520A7-EC0A-46D4-8644-8C5C816E28A1}" srcId="{FBF165CB-3CFE-49D9-B6C0-B04F9DB4B81C}" destId="{4152F9CE-B7F7-45E5-9FF7-4931570DF430}" srcOrd="4" destOrd="0" parTransId="{3D5C11B0-0B0D-4E46-8E63-00AA30CD3122}" sibTransId="{1EAC61F2-A1EC-4ADA-9D62-80E571A2FE61}"/>
    <dgm:cxn modelId="{64FD8E11-1598-401E-BAA6-B08734FF601C}" srcId="{08BE38F5-0A4B-4733-9497-E1F6EEF3E976}" destId="{D827F2F9-11A2-439F-9BB8-E3285FED73A2}" srcOrd="1" destOrd="0" parTransId="{AC737CB5-C5ED-4ABB-94F5-063FF055F932}" sibTransId="{69C5D181-8ED1-4B10-AD1B-B56ABF59255B}"/>
    <dgm:cxn modelId="{E50A2E36-BC8A-4149-9FC1-D1D8D76DFED7}" type="presParOf" srcId="{0CC29F46-450E-44AA-AAC1-823ABEE3F261}" destId="{53CCCE91-248C-4ADD-901D-1198276A8D6E}" srcOrd="0" destOrd="0" presId="urn:microsoft.com/office/officeart/2005/8/layout/hierarchy1"/>
    <dgm:cxn modelId="{00170BFE-F292-4675-B3D8-55284A60F7DC}" type="presParOf" srcId="{53CCCE91-248C-4ADD-901D-1198276A8D6E}" destId="{E582ADD3-E225-4C94-9BA8-6FC2548AAE8D}" srcOrd="0" destOrd="0" presId="urn:microsoft.com/office/officeart/2005/8/layout/hierarchy1"/>
    <dgm:cxn modelId="{945933F4-C3D0-4446-9D52-D767FD52FBDB}" type="presParOf" srcId="{E582ADD3-E225-4C94-9BA8-6FC2548AAE8D}" destId="{D753D325-B670-4FBB-9B31-6C1BB204807F}" srcOrd="0" destOrd="0" presId="urn:microsoft.com/office/officeart/2005/8/layout/hierarchy1"/>
    <dgm:cxn modelId="{34549D31-5E43-4DA3-90F5-41997649F1FF}" type="presParOf" srcId="{E582ADD3-E225-4C94-9BA8-6FC2548AAE8D}" destId="{0C2CEAA3-4FC7-4463-9018-B3D823EA9DC1}" srcOrd="1" destOrd="0" presId="urn:microsoft.com/office/officeart/2005/8/layout/hierarchy1"/>
    <dgm:cxn modelId="{C3FEDAA8-D50E-4C1B-A24A-AA3942E6F1EF}" type="presParOf" srcId="{53CCCE91-248C-4ADD-901D-1198276A8D6E}" destId="{FFB76589-1AB8-480F-A9D9-B23117B27ADE}" srcOrd="1" destOrd="0" presId="urn:microsoft.com/office/officeart/2005/8/layout/hierarchy1"/>
    <dgm:cxn modelId="{D8DAD25A-8D67-4D4D-B7A9-48816095CEB4}" type="presParOf" srcId="{0CC29F46-450E-44AA-AAC1-823ABEE3F261}" destId="{B646BB8F-D391-4701-864B-4528EDBD4BA1}" srcOrd="1" destOrd="0" presId="urn:microsoft.com/office/officeart/2005/8/layout/hierarchy1"/>
    <dgm:cxn modelId="{163F6DF1-73D2-4E27-A1A8-4865274C8B0E}" type="presParOf" srcId="{B646BB8F-D391-4701-864B-4528EDBD4BA1}" destId="{1694502D-58E8-45C4-A866-5458F7190A74}" srcOrd="0" destOrd="0" presId="urn:microsoft.com/office/officeart/2005/8/layout/hierarchy1"/>
    <dgm:cxn modelId="{7DC9A5D4-77D0-4874-8FE6-8E39D9C65450}" type="presParOf" srcId="{1694502D-58E8-45C4-A866-5458F7190A74}" destId="{33162681-1399-472C-869F-A12391C295BF}" srcOrd="0" destOrd="0" presId="urn:microsoft.com/office/officeart/2005/8/layout/hierarchy1"/>
    <dgm:cxn modelId="{B0763010-9D61-4DF8-A23B-435610495F38}" type="presParOf" srcId="{1694502D-58E8-45C4-A866-5458F7190A74}" destId="{6B3BA1B1-3614-4186-8C49-4BC26CC0171D}" srcOrd="1" destOrd="0" presId="urn:microsoft.com/office/officeart/2005/8/layout/hierarchy1"/>
    <dgm:cxn modelId="{5C8E07BB-F6DB-4BC6-9AC1-ADA1ACF0AD97}" type="presParOf" srcId="{B646BB8F-D391-4701-864B-4528EDBD4BA1}" destId="{2D1358D5-F583-4868-B702-632336BC9D69}" srcOrd="1" destOrd="0" presId="urn:microsoft.com/office/officeart/2005/8/layout/hierarchy1"/>
    <dgm:cxn modelId="{C724886F-A8C4-44B8-8823-9F814298509F}" type="presParOf" srcId="{0CC29F46-450E-44AA-AAC1-823ABEE3F261}" destId="{5C49DE32-CFEB-4AAB-999D-1C58E8EE649E}" srcOrd="2" destOrd="0" presId="urn:microsoft.com/office/officeart/2005/8/layout/hierarchy1"/>
    <dgm:cxn modelId="{17295BB5-8023-4082-9537-3CF4116C3C44}" type="presParOf" srcId="{5C49DE32-CFEB-4AAB-999D-1C58E8EE649E}" destId="{0194E6EB-64C8-4C56-A9F6-634E915D493E}" srcOrd="0" destOrd="0" presId="urn:microsoft.com/office/officeart/2005/8/layout/hierarchy1"/>
    <dgm:cxn modelId="{C25E533A-6EFD-489E-9582-12D9AE18AEE7}" type="presParOf" srcId="{0194E6EB-64C8-4C56-A9F6-634E915D493E}" destId="{ED1A71E8-1E45-40CE-8FC3-7445FA401327}" srcOrd="0" destOrd="0" presId="urn:microsoft.com/office/officeart/2005/8/layout/hierarchy1"/>
    <dgm:cxn modelId="{60358573-3C3F-4FC8-BE33-0F135D788D94}" type="presParOf" srcId="{0194E6EB-64C8-4C56-A9F6-634E915D493E}" destId="{946243CE-6822-4846-8B79-9F6BE7398924}" srcOrd="1" destOrd="0" presId="urn:microsoft.com/office/officeart/2005/8/layout/hierarchy1"/>
    <dgm:cxn modelId="{0E4EE317-E394-4687-A500-78D0E3C80663}" type="presParOf" srcId="{5C49DE32-CFEB-4AAB-999D-1C58E8EE649E}" destId="{CAC3C1BB-8E67-4A87-9799-22A334F879CE}" srcOrd="1" destOrd="0" presId="urn:microsoft.com/office/officeart/2005/8/layout/hierarchy1"/>
    <dgm:cxn modelId="{147DE453-006B-4D61-81A3-E6E0493B88A3}" type="presParOf" srcId="{CAC3C1BB-8E67-4A87-9799-22A334F879CE}" destId="{87739EFB-8BD4-4A12-AB85-420B957D0A10}" srcOrd="0" destOrd="0" presId="urn:microsoft.com/office/officeart/2005/8/layout/hierarchy1"/>
    <dgm:cxn modelId="{C3B354A2-3FA9-484D-9ED4-9107071D5A92}" type="presParOf" srcId="{CAC3C1BB-8E67-4A87-9799-22A334F879CE}" destId="{FE043652-91C9-42DB-8224-8DCD0C24A1B2}" srcOrd="1" destOrd="0" presId="urn:microsoft.com/office/officeart/2005/8/layout/hierarchy1"/>
    <dgm:cxn modelId="{6DFF4658-4FC2-4469-8294-13A4BB114E2D}" type="presParOf" srcId="{FE043652-91C9-42DB-8224-8DCD0C24A1B2}" destId="{414A9814-07BD-4B2F-8552-9AA258A28EA8}" srcOrd="0" destOrd="0" presId="urn:microsoft.com/office/officeart/2005/8/layout/hierarchy1"/>
    <dgm:cxn modelId="{DA47BD59-4FC7-4097-838B-A37639EBFE5A}" type="presParOf" srcId="{414A9814-07BD-4B2F-8552-9AA258A28EA8}" destId="{658B89F7-B2EE-45F3-991B-F64868674945}" srcOrd="0" destOrd="0" presId="urn:microsoft.com/office/officeart/2005/8/layout/hierarchy1"/>
    <dgm:cxn modelId="{9FD17257-81E5-4124-A196-D52E24E40374}" type="presParOf" srcId="{414A9814-07BD-4B2F-8552-9AA258A28EA8}" destId="{79AB58A4-1A79-485F-A932-CD10ABEDAC18}" srcOrd="1" destOrd="0" presId="urn:microsoft.com/office/officeart/2005/8/layout/hierarchy1"/>
    <dgm:cxn modelId="{BEA66A33-A74C-462B-8E68-20E3BDB7B6BC}" type="presParOf" srcId="{FE043652-91C9-42DB-8224-8DCD0C24A1B2}" destId="{B269F60F-0710-4CA5-A190-581765F44729}" srcOrd="1" destOrd="0" presId="urn:microsoft.com/office/officeart/2005/8/layout/hierarchy1"/>
    <dgm:cxn modelId="{C0B3F836-C15D-4A16-9268-FDA63EBC5843}" type="presParOf" srcId="{B269F60F-0710-4CA5-A190-581765F44729}" destId="{9787E105-54A0-43F8-8929-DB25BA6D9678}" srcOrd="0" destOrd="0" presId="urn:microsoft.com/office/officeart/2005/8/layout/hierarchy1"/>
    <dgm:cxn modelId="{4B2281D6-BAE6-44B1-9C01-D718D2A371A4}" type="presParOf" srcId="{B269F60F-0710-4CA5-A190-581765F44729}" destId="{D74887BA-D05E-41CA-A429-43AED62F2670}" srcOrd="1" destOrd="0" presId="urn:microsoft.com/office/officeart/2005/8/layout/hierarchy1"/>
    <dgm:cxn modelId="{F250A42C-AE31-45A7-8C26-6310765AA7DD}" type="presParOf" srcId="{D74887BA-D05E-41CA-A429-43AED62F2670}" destId="{AB6CE99D-AE8D-4C90-AA60-AB19EFDE598A}" srcOrd="0" destOrd="0" presId="urn:microsoft.com/office/officeart/2005/8/layout/hierarchy1"/>
    <dgm:cxn modelId="{B1163E04-0782-471C-A0CA-16CAF4AEEAD9}" type="presParOf" srcId="{AB6CE99D-AE8D-4C90-AA60-AB19EFDE598A}" destId="{5EE83815-CB34-4FB9-8479-DC978933F703}" srcOrd="0" destOrd="0" presId="urn:microsoft.com/office/officeart/2005/8/layout/hierarchy1"/>
    <dgm:cxn modelId="{A57040A4-22DB-46E4-BD98-16FFA37A21E8}" type="presParOf" srcId="{AB6CE99D-AE8D-4C90-AA60-AB19EFDE598A}" destId="{87543E5A-8F84-423D-B500-2A0B279572E5}" srcOrd="1" destOrd="0" presId="urn:microsoft.com/office/officeart/2005/8/layout/hierarchy1"/>
    <dgm:cxn modelId="{986F541D-1748-4755-8E49-C6A68AE6BFDB}" type="presParOf" srcId="{D74887BA-D05E-41CA-A429-43AED62F2670}" destId="{7DA0C6C9-FB34-473F-8D45-ACC6B8C30D4D}" srcOrd="1" destOrd="0" presId="urn:microsoft.com/office/officeart/2005/8/layout/hierarchy1"/>
    <dgm:cxn modelId="{3492E383-DFF8-44DE-81F8-CBD954AB2039}" type="presParOf" srcId="{7DA0C6C9-FB34-473F-8D45-ACC6B8C30D4D}" destId="{183BAE5F-DEEB-4EF4-84FC-113FD02B238D}" srcOrd="0" destOrd="0" presId="urn:microsoft.com/office/officeart/2005/8/layout/hierarchy1"/>
    <dgm:cxn modelId="{6933AD25-714D-4318-9F13-968A4AC26C8F}" type="presParOf" srcId="{7DA0C6C9-FB34-473F-8D45-ACC6B8C30D4D}" destId="{4C17BFD0-4466-4061-8243-178D2168CCEA}" srcOrd="1" destOrd="0" presId="urn:microsoft.com/office/officeart/2005/8/layout/hierarchy1"/>
    <dgm:cxn modelId="{2D13D9B2-625E-499B-81D6-2524D5094638}" type="presParOf" srcId="{4C17BFD0-4466-4061-8243-178D2168CCEA}" destId="{FE4195CB-54A6-44E0-9811-DE77EAA49B28}" srcOrd="0" destOrd="0" presId="urn:microsoft.com/office/officeart/2005/8/layout/hierarchy1"/>
    <dgm:cxn modelId="{694172EC-00F7-4FB8-950F-6FD659FB127E}" type="presParOf" srcId="{FE4195CB-54A6-44E0-9811-DE77EAA49B28}" destId="{B5F30336-6C9C-4DB7-BB45-DC15294F33F3}" srcOrd="0" destOrd="0" presId="urn:microsoft.com/office/officeart/2005/8/layout/hierarchy1"/>
    <dgm:cxn modelId="{125A10ED-A805-4959-95D3-FE712C5A0C84}" type="presParOf" srcId="{FE4195CB-54A6-44E0-9811-DE77EAA49B28}" destId="{30111A0B-BBBF-49C2-AC8C-F111EA032954}" srcOrd="1" destOrd="0" presId="urn:microsoft.com/office/officeart/2005/8/layout/hierarchy1"/>
    <dgm:cxn modelId="{43567540-E1DF-4AFE-AC1A-137D2B1D60C6}" type="presParOf" srcId="{4C17BFD0-4466-4061-8243-178D2168CCEA}" destId="{CB1FAD4A-AC4C-462D-B221-3DCC153CEA0E}" srcOrd="1" destOrd="0" presId="urn:microsoft.com/office/officeart/2005/8/layout/hierarchy1"/>
    <dgm:cxn modelId="{D3FF169C-8E7B-49E5-B32D-9469C0B26C78}" type="presParOf" srcId="{7DA0C6C9-FB34-473F-8D45-ACC6B8C30D4D}" destId="{ECD292D1-C580-4DBC-A05C-CC160B9D8C79}" srcOrd="2" destOrd="0" presId="urn:microsoft.com/office/officeart/2005/8/layout/hierarchy1"/>
    <dgm:cxn modelId="{69A392CE-191D-42B8-9E0E-048E8358A6CB}" type="presParOf" srcId="{7DA0C6C9-FB34-473F-8D45-ACC6B8C30D4D}" destId="{6C0880AF-589C-482A-B4EB-77EECCCCC0EF}" srcOrd="3" destOrd="0" presId="urn:microsoft.com/office/officeart/2005/8/layout/hierarchy1"/>
    <dgm:cxn modelId="{2ADBDF0E-20C2-498F-9B3F-CBA51F517930}" type="presParOf" srcId="{6C0880AF-589C-482A-B4EB-77EECCCCC0EF}" destId="{646EB991-05D6-49CA-820D-CBA71EEE4454}" srcOrd="0" destOrd="0" presId="urn:microsoft.com/office/officeart/2005/8/layout/hierarchy1"/>
    <dgm:cxn modelId="{8CD7E0F2-2FB8-4243-A50A-DD68277C6E0C}" type="presParOf" srcId="{646EB991-05D6-49CA-820D-CBA71EEE4454}" destId="{9237A020-0599-4812-B18D-942DDEC0B660}" srcOrd="0" destOrd="0" presId="urn:microsoft.com/office/officeart/2005/8/layout/hierarchy1"/>
    <dgm:cxn modelId="{1DD5E333-ED70-408A-AE0C-78743BB9CF7D}" type="presParOf" srcId="{646EB991-05D6-49CA-820D-CBA71EEE4454}" destId="{EE2BB23D-37BD-4799-8500-3F1198EF4911}" srcOrd="1" destOrd="0" presId="urn:microsoft.com/office/officeart/2005/8/layout/hierarchy1"/>
    <dgm:cxn modelId="{3B7BBBED-215A-431D-885B-89B31BE9378C}" type="presParOf" srcId="{6C0880AF-589C-482A-B4EB-77EECCCCC0EF}" destId="{C570A3D1-D484-41EC-BB2C-8C04E2A0E445}" srcOrd="1" destOrd="0" presId="urn:microsoft.com/office/officeart/2005/8/layout/hierarchy1"/>
    <dgm:cxn modelId="{CEA360C3-3377-49C0-AE2A-C8EC9173B51D}" type="presParOf" srcId="{7DA0C6C9-FB34-473F-8D45-ACC6B8C30D4D}" destId="{C1D19851-98E4-4F3C-9B41-2A5BFD89D655}" srcOrd="4" destOrd="0" presId="urn:microsoft.com/office/officeart/2005/8/layout/hierarchy1"/>
    <dgm:cxn modelId="{47D640A4-E2DC-40C9-974C-26C4C05A2B30}" type="presParOf" srcId="{7DA0C6C9-FB34-473F-8D45-ACC6B8C30D4D}" destId="{F2DBE1B4-B995-4444-848D-13FB262EE2B8}" srcOrd="5" destOrd="0" presId="urn:microsoft.com/office/officeart/2005/8/layout/hierarchy1"/>
    <dgm:cxn modelId="{A9237E20-19B1-46DE-9C84-61432341AD14}" type="presParOf" srcId="{F2DBE1B4-B995-4444-848D-13FB262EE2B8}" destId="{FA6EFD84-CE02-4C6E-BD5F-97ED5DD27442}" srcOrd="0" destOrd="0" presId="urn:microsoft.com/office/officeart/2005/8/layout/hierarchy1"/>
    <dgm:cxn modelId="{B6EFA114-31B3-44CA-9052-9B1E05BE900B}" type="presParOf" srcId="{FA6EFD84-CE02-4C6E-BD5F-97ED5DD27442}" destId="{38422559-A297-4BF6-9765-56A6E46B525E}" srcOrd="0" destOrd="0" presId="urn:microsoft.com/office/officeart/2005/8/layout/hierarchy1"/>
    <dgm:cxn modelId="{6B97CFD5-62AD-4D2E-AADF-E4809B1E862F}" type="presParOf" srcId="{FA6EFD84-CE02-4C6E-BD5F-97ED5DD27442}" destId="{2422BC7A-F732-45C6-950D-77846A0D5081}" srcOrd="1" destOrd="0" presId="urn:microsoft.com/office/officeart/2005/8/layout/hierarchy1"/>
    <dgm:cxn modelId="{4FC80075-259F-404A-BB68-B8FBE2FDCC32}" type="presParOf" srcId="{F2DBE1B4-B995-4444-848D-13FB262EE2B8}" destId="{42E03779-060B-4668-B003-72889C683B25}" srcOrd="1" destOrd="0" presId="urn:microsoft.com/office/officeart/2005/8/layout/hierarchy1"/>
    <dgm:cxn modelId="{650EDB4D-3C9B-44F3-85D8-7F294C1F3E20}" type="presParOf" srcId="{7DA0C6C9-FB34-473F-8D45-ACC6B8C30D4D}" destId="{47C9DB39-E0C1-43E8-9552-02D83F557F92}" srcOrd="6" destOrd="0" presId="urn:microsoft.com/office/officeart/2005/8/layout/hierarchy1"/>
    <dgm:cxn modelId="{13C11B03-3E76-4727-A471-F001A055481E}" type="presParOf" srcId="{7DA0C6C9-FB34-473F-8D45-ACC6B8C30D4D}" destId="{ABCCA3E0-6412-40AC-B409-8A8519FDA6C2}" srcOrd="7" destOrd="0" presId="urn:microsoft.com/office/officeart/2005/8/layout/hierarchy1"/>
    <dgm:cxn modelId="{B3B96687-24B0-4501-9FC8-0C7EFCE9653D}" type="presParOf" srcId="{ABCCA3E0-6412-40AC-B409-8A8519FDA6C2}" destId="{F53AE524-8BF6-488C-8753-40E784C4194C}" srcOrd="0" destOrd="0" presId="urn:microsoft.com/office/officeart/2005/8/layout/hierarchy1"/>
    <dgm:cxn modelId="{9C833A73-0C5E-45F0-A74A-3C47E0FEB59E}" type="presParOf" srcId="{F53AE524-8BF6-488C-8753-40E784C4194C}" destId="{AD07592E-D97D-4829-8629-CEC29D74EF6C}" srcOrd="0" destOrd="0" presId="urn:microsoft.com/office/officeart/2005/8/layout/hierarchy1"/>
    <dgm:cxn modelId="{DFD2D706-50C1-4DED-AB30-8CECCE764D07}" type="presParOf" srcId="{F53AE524-8BF6-488C-8753-40E784C4194C}" destId="{2D664A93-EC00-488B-9CDD-53907332DD1F}" srcOrd="1" destOrd="0" presId="urn:microsoft.com/office/officeart/2005/8/layout/hierarchy1"/>
    <dgm:cxn modelId="{CEA8D9CE-EA7D-4E1D-803E-01BFB4ED64CD}" type="presParOf" srcId="{ABCCA3E0-6412-40AC-B409-8A8519FDA6C2}" destId="{E59589FB-678F-42B9-886C-D877715ECF86}" srcOrd="1" destOrd="0" presId="urn:microsoft.com/office/officeart/2005/8/layout/hierarchy1"/>
    <dgm:cxn modelId="{E8CCAC96-2615-457E-80BE-E5DFDC0C0D27}" type="presParOf" srcId="{7DA0C6C9-FB34-473F-8D45-ACC6B8C30D4D}" destId="{3796B078-6E74-4EEE-B247-7993CF4E45CA}" srcOrd="8" destOrd="0" presId="urn:microsoft.com/office/officeart/2005/8/layout/hierarchy1"/>
    <dgm:cxn modelId="{BE215A2E-0168-45EE-8C2B-ACCA2701533F}" type="presParOf" srcId="{7DA0C6C9-FB34-473F-8D45-ACC6B8C30D4D}" destId="{5AF735CB-367C-4021-AD1E-D29C98612452}" srcOrd="9" destOrd="0" presId="urn:microsoft.com/office/officeart/2005/8/layout/hierarchy1"/>
    <dgm:cxn modelId="{53F3EE7E-1B82-4921-95C3-0BBBE3070535}" type="presParOf" srcId="{5AF735CB-367C-4021-AD1E-D29C98612452}" destId="{4447E4B5-8B6E-40DA-AA0D-E3CCFEFC6502}" srcOrd="0" destOrd="0" presId="urn:microsoft.com/office/officeart/2005/8/layout/hierarchy1"/>
    <dgm:cxn modelId="{8961ACDE-DE25-4407-AC40-5511EB8ED33E}" type="presParOf" srcId="{4447E4B5-8B6E-40DA-AA0D-E3CCFEFC6502}" destId="{4E257C34-F005-4100-BF06-5EEA0A9BA2F2}" srcOrd="0" destOrd="0" presId="urn:microsoft.com/office/officeart/2005/8/layout/hierarchy1"/>
    <dgm:cxn modelId="{E292C407-16FD-43B6-88DA-7678641AA215}" type="presParOf" srcId="{4447E4B5-8B6E-40DA-AA0D-E3CCFEFC6502}" destId="{ED711DB1-B2B8-4A37-A9CA-EBC51CAFF9E5}" srcOrd="1" destOrd="0" presId="urn:microsoft.com/office/officeart/2005/8/layout/hierarchy1"/>
    <dgm:cxn modelId="{92739918-BB03-4DA5-BF9A-058E9934D218}" type="presParOf" srcId="{5AF735CB-367C-4021-AD1E-D29C98612452}" destId="{6B0A8D93-3754-4672-8C1B-C62CB1E28637}" srcOrd="1" destOrd="0" presId="urn:microsoft.com/office/officeart/2005/8/layout/hierarchy1"/>
    <dgm:cxn modelId="{976A8A0F-5A14-4282-B44D-15EF8540A365}" type="presParOf" srcId="{0CC29F46-450E-44AA-AAC1-823ABEE3F261}" destId="{0D9DE1A2-027D-4646-AE35-9504B97ED8D6}" srcOrd="3" destOrd="0" presId="urn:microsoft.com/office/officeart/2005/8/layout/hierarchy1"/>
    <dgm:cxn modelId="{CE239C1A-DCD1-4098-BAD1-3EFC1E43CAAC}" type="presParOf" srcId="{0D9DE1A2-027D-4646-AE35-9504B97ED8D6}" destId="{1AC9AC6C-11E9-4C55-B06E-EB90E4244A49}" srcOrd="0" destOrd="0" presId="urn:microsoft.com/office/officeart/2005/8/layout/hierarchy1"/>
    <dgm:cxn modelId="{214438DC-7292-4968-9025-7A27135A04C0}" type="presParOf" srcId="{1AC9AC6C-11E9-4C55-B06E-EB90E4244A49}" destId="{B851DCAC-7567-46E1-B169-DE463500901E}" srcOrd="0" destOrd="0" presId="urn:microsoft.com/office/officeart/2005/8/layout/hierarchy1"/>
    <dgm:cxn modelId="{B56DA746-FFE7-4442-94AF-0545AB118AA3}" type="presParOf" srcId="{1AC9AC6C-11E9-4C55-B06E-EB90E4244A49}" destId="{6ADE595A-84E4-44CF-93AD-5CA2028C83E8}" srcOrd="1" destOrd="0" presId="urn:microsoft.com/office/officeart/2005/8/layout/hierarchy1"/>
    <dgm:cxn modelId="{49C877B3-755E-49D8-A9C5-BDF333A814C7}" type="presParOf" srcId="{0D9DE1A2-027D-4646-AE35-9504B97ED8D6}" destId="{40F1A2E0-B9FA-4603-A2C1-24A39030DBD2}" srcOrd="1" destOrd="0" presId="urn:microsoft.com/office/officeart/2005/8/layout/hierarchy1"/>
    <dgm:cxn modelId="{3752572F-0BD8-44BA-B9B4-A6CEFA786F61}" type="presParOf" srcId="{0CC29F46-450E-44AA-AAC1-823ABEE3F261}" destId="{4DF0C315-69B5-4E5F-AC6F-1901F440DA76}" srcOrd="4" destOrd="0" presId="urn:microsoft.com/office/officeart/2005/8/layout/hierarchy1"/>
    <dgm:cxn modelId="{F08B5D33-5912-469A-A4CF-A328908AC9D4}" type="presParOf" srcId="{4DF0C315-69B5-4E5F-AC6F-1901F440DA76}" destId="{482AAC59-89E2-4A8A-9EC6-C53B7278B2E3}" srcOrd="0" destOrd="0" presId="urn:microsoft.com/office/officeart/2005/8/layout/hierarchy1"/>
    <dgm:cxn modelId="{E44AF3F7-1973-4B87-A757-C3FCC18B39E8}" type="presParOf" srcId="{482AAC59-89E2-4A8A-9EC6-C53B7278B2E3}" destId="{37EECCC0-6E8C-4542-87C9-ADAC0EC25AAC}" srcOrd="0" destOrd="0" presId="urn:microsoft.com/office/officeart/2005/8/layout/hierarchy1"/>
    <dgm:cxn modelId="{6E8FC4D2-1BAA-4CE8-BD3D-F187429B6A2C}" type="presParOf" srcId="{482AAC59-89E2-4A8A-9EC6-C53B7278B2E3}" destId="{A01325B6-0489-4164-85EC-283DAF114C3E}" srcOrd="1" destOrd="0" presId="urn:microsoft.com/office/officeart/2005/8/layout/hierarchy1"/>
    <dgm:cxn modelId="{F16EE45C-12D7-4831-9891-86D8514995C7}" type="presParOf" srcId="{4DF0C315-69B5-4E5F-AC6F-1901F440DA76}" destId="{599C2781-9035-452B-A8D8-78640EB42D7C}"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4FCA6-2B36-4963-A082-6D8FC7D410C5}">
      <dsp:nvSpPr>
        <dsp:cNvPr id="0" name=""/>
        <dsp:cNvSpPr/>
      </dsp:nvSpPr>
      <dsp:spPr>
        <a:xfrm>
          <a:off x="4790358" y="3585738"/>
          <a:ext cx="91440" cy="256289"/>
        </a:xfrm>
        <a:custGeom>
          <a:avLst/>
          <a:gdLst/>
          <a:ahLst/>
          <a:cxnLst/>
          <a:rect l="0" t="0" r="0" b="0"/>
          <a:pathLst>
            <a:path>
              <a:moveTo>
                <a:pt x="45720" y="0"/>
              </a:moveTo>
              <a:lnTo>
                <a:pt x="45720" y="25628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96B078-6E74-4EEE-B247-7993CF4E45CA}">
      <dsp:nvSpPr>
        <dsp:cNvPr id="0" name=""/>
        <dsp:cNvSpPr/>
      </dsp:nvSpPr>
      <dsp:spPr>
        <a:xfrm>
          <a:off x="2757821" y="2676364"/>
          <a:ext cx="2078256" cy="349795"/>
        </a:xfrm>
        <a:custGeom>
          <a:avLst/>
          <a:gdLst/>
          <a:ahLst/>
          <a:cxnLst/>
          <a:rect l="0" t="0" r="0" b="0"/>
          <a:pathLst>
            <a:path>
              <a:moveTo>
                <a:pt x="0" y="0"/>
              </a:moveTo>
              <a:lnTo>
                <a:pt x="0" y="268159"/>
              </a:lnTo>
              <a:lnTo>
                <a:pt x="2078256" y="268159"/>
              </a:lnTo>
              <a:lnTo>
                <a:pt x="2078256" y="34979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FEA46C-6EFF-485B-9478-AD77C21D2553}">
      <dsp:nvSpPr>
        <dsp:cNvPr id="0" name=""/>
        <dsp:cNvSpPr/>
      </dsp:nvSpPr>
      <dsp:spPr>
        <a:xfrm>
          <a:off x="3669740" y="4564710"/>
          <a:ext cx="91440" cy="256289"/>
        </a:xfrm>
        <a:custGeom>
          <a:avLst/>
          <a:gdLst/>
          <a:ahLst/>
          <a:cxnLst/>
          <a:rect l="0" t="0" r="0" b="0"/>
          <a:pathLst>
            <a:path>
              <a:moveTo>
                <a:pt x="45720" y="0"/>
              </a:moveTo>
              <a:lnTo>
                <a:pt x="45720" y="25628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C9DB39-E0C1-43E8-9552-02D83F557F92}">
      <dsp:nvSpPr>
        <dsp:cNvPr id="0" name=""/>
        <dsp:cNvSpPr/>
      </dsp:nvSpPr>
      <dsp:spPr>
        <a:xfrm>
          <a:off x="2757821" y="2676364"/>
          <a:ext cx="957639" cy="349795"/>
        </a:xfrm>
        <a:custGeom>
          <a:avLst/>
          <a:gdLst/>
          <a:ahLst/>
          <a:cxnLst/>
          <a:rect l="0" t="0" r="0" b="0"/>
          <a:pathLst>
            <a:path>
              <a:moveTo>
                <a:pt x="0" y="0"/>
              </a:moveTo>
              <a:lnTo>
                <a:pt x="0" y="268159"/>
              </a:lnTo>
              <a:lnTo>
                <a:pt x="957639" y="268159"/>
              </a:lnTo>
              <a:lnTo>
                <a:pt x="957639" y="34979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17EF48-ED54-40A6-8673-17065C319BDD}">
      <dsp:nvSpPr>
        <dsp:cNvPr id="0" name=""/>
        <dsp:cNvSpPr/>
      </dsp:nvSpPr>
      <dsp:spPr>
        <a:xfrm>
          <a:off x="2549122" y="3924955"/>
          <a:ext cx="91440" cy="256289"/>
        </a:xfrm>
        <a:custGeom>
          <a:avLst/>
          <a:gdLst/>
          <a:ahLst/>
          <a:cxnLst/>
          <a:rect l="0" t="0" r="0" b="0"/>
          <a:pathLst>
            <a:path>
              <a:moveTo>
                <a:pt x="45720" y="0"/>
              </a:moveTo>
              <a:lnTo>
                <a:pt x="45720" y="25628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D19851-98E4-4F3C-9B41-2A5BFD89D655}">
      <dsp:nvSpPr>
        <dsp:cNvPr id="0" name=""/>
        <dsp:cNvSpPr/>
      </dsp:nvSpPr>
      <dsp:spPr>
        <a:xfrm>
          <a:off x="2594842" y="2676364"/>
          <a:ext cx="162978" cy="349795"/>
        </a:xfrm>
        <a:custGeom>
          <a:avLst/>
          <a:gdLst/>
          <a:ahLst/>
          <a:cxnLst/>
          <a:rect l="0" t="0" r="0" b="0"/>
          <a:pathLst>
            <a:path>
              <a:moveTo>
                <a:pt x="162978" y="0"/>
              </a:moveTo>
              <a:lnTo>
                <a:pt x="162978" y="268159"/>
              </a:lnTo>
              <a:lnTo>
                <a:pt x="0" y="268159"/>
              </a:lnTo>
              <a:lnTo>
                <a:pt x="0" y="34979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021B5C-7212-4F51-9F61-9C3BC027EB1A}">
      <dsp:nvSpPr>
        <dsp:cNvPr id="0" name=""/>
        <dsp:cNvSpPr/>
      </dsp:nvSpPr>
      <dsp:spPr>
        <a:xfrm>
          <a:off x="1472068" y="4229041"/>
          <a:ext cx="91440" cy="256289"/>
        </a:xfrm>
        <a:custGeom>
          <a:avLst/>
          <a:gdLst/>
          <a:ahLst/>
          <a:cxnLst/>
          <a:rect l="0" t="0" r="0" b="0"/>
          <a:pathLst>
            <a:path>
              <a:moveTo>
                <a:pt x="45720" y="0"/>
              </a:moveTo>
              <a:lnTo>
                <a:pt x="45720" y="25628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292D1-C580-4DBC-A05C-CC160B9D8C79}">
      <dsp:nvSpPr>
        <dsp:cNvPr id="0" name=""/>
        <dsp:cNvSpPr/>
      </dsp:nvSpPr>
      <dsp:spPr>
        <a:xfrm>
          <a:off x="1517788" y="2676364"/>
          <a:ext cx="1240032" cy="349795"/>
        </a:xfrm>
        <a:custGeom>
          <a:avLst/>
          <a:gdLst/>
          <a:ahLst/>
          <a:cxnLst/>
          <a:rect l="0" t="0" r="0" b="0"/>
          <a:pathLst>
            <a:path>
              <a:moveTo>
                <a:pt x="1240032" y="0"/>
              </a:moveTo>
              <a:lnTo>
                <a:pt x="1240032" y="268159"/>
              </a:lnTo>
              <a:lnTo>
                <a:pt x="0" y="268159"/>
              </a:lnTo>
              <a:lnTo>
                <a:pt x="0" y="34979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53E40B-0DBF-4C57-8470-F597929498DC}">
      <dsp:nvSpPr>
        <dsp:cNvPr id="0" name=""/>
        <dsp:cNvSpPr/>
      </dsp:nvSpPr>
      <dsp:spPr>
        <a:xfrm>
          <a:off x="395014" y="3842165"/>
          <a:ext cx="91440" cy="256289"/>
        </a:xfrm>
        <a:custGeom>
          <a:avLst/>
          <a:gdLst/>
          <a:ahLst/>
          <a:cxnLst/>
          <a:rect l="0" t="0" r="0" b="0"/>
          <a:pathLst>
            <a:path>
              <a:moveTo>
                <a:pt x="45720" y="0"/>
              </a:moveTo>
              <a:lnTo>
                <a:pt x="45720" y="25628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3BAE5F-DEEB-4EF4-84FC-113FD02B238D}">
      <dsp:nvSpPr>
        <dsp:cNvPr id="0" name=""/>
        <dsp:cNvSpPr/>
      </dsp:nvSpPr>
      <dsp:spPr>
        <a:xfrm>
          <a:off x="440734" y="2676364"/>
          <a:ext cx="2317086" cy="349795"/>
        </a:xfrm>
        <a:custGeom>
          <a:avLst/>
          <a:gdLst/>
          <a:ahLst/>
          <a:cxnLst/>
          <a:rect l="0" t="0" r="0" b="0"/>
          <a:pathLst>
            <a:path>
              <a:moveTo>
                <a:pt x="2317086" y="0"/>
              </a:moveTo>
              <a:lnTo>
                <a:pt x="2317086" y="268159"/>
              </a:lnTo>
              <a:lnTo>
                <a:pt x="0" y="268159"/>
              </a:lnTo>
              <a:lnTo>
                <a:pt x="0" y="34979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87E105-54A0-43F8-8929-DB25BA6D9678}">
      <dsp:nvSpPr>
        <dsp:cNvPr id="0" name=""/>
        <dsp:cNvSpPr/>
      </dsp:nvSpPr>
      <dsp:spPr>
        <a:xfrm>
          <a:off x="2712101" y="1726107"/>
          <a:ext cx="91440" cy="273015"/>
        </a:xfrm>
        <a:custGeom>
          <a:avLst/>
          <a:gdLst/>
          <a:ahLst/>
          <a:cxnLst/>
          <a:rect l="0" t="0" r="0" b="0"/>
          <a:pathLst>
            <a:path>
              <a:moveTo>
                <a:pt x="45720" y="0"/>
              </a:moveTo>
              <a:lnTo>
                <a:pt x="45720" y="273015"/>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739EFB-8BD4-4A12-AB85-420B957D0A10}">
      <dsp:nvSpPr>
        <dsp:cNvPr id="0" name=""/>
        <dsp:cNvSpPr/>
      </dsp:nvSpPr>
      <dsp:spPr>
        <a:xfrm>
          <a:off x="2625203" y="828031"/>
          <a:ext cx="91440" cy="182403"/>
        </a:xfrm>
        <a:custGeom>
          <a:avLst/>
          <a:gdLst/>
          <a:ahLst/>
          <a:cxnLst/>
          <a:rect l="0" t="0" r="0" b="0"/>
          <a:pathLst>
            <a:path>
              <a:moveTo>
                <a:pt x="45720" y="0"/>
              </a:moveTo>
              <a:lnTo>
                <a:pt x="45720" y="100767"/>
              </a:lnTo>
              <a:lnTo>
                <a:pt x="132617" y="100767"/>
              </a:lnTo>
              <a:lnTo>
                <a:pt x="132617" y="18240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5BB14C80-ECD1-4E05-95F9-E02E4B673B36}">
      <dsp:nvSpPr>
        <dsp:cNvPr id="0" name=""/>
        <dsp:cNvSpPr/>
      </dsp:nvSpPr>
      <dsp:spPr>
        <a:xfrm>
          <a:off x="215136" y="180973"/>
          <a:ext cx="881226" cy="559578"/>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A8F488-5ED0-48C8-9436-10A4CCF2D4B9}">
      <dsp:nvSpPr>
        <dsp:cNvPr id="0" name=""/>
        <dsp:cNvSpPr/>
      </dsp:nvSpPr>
      <dsp:spPr>
        <a:xfrm>
          <a:off x="313050" y="273992"/>
          <a:ext cx="881226" cy="559578"/>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solidFill>
                <a:schemeClr val="tx1"/>
              </a:solidFill>
              <a:latin typeface="Times New Roman" pitchFamily="18" charset="0"/>
              <a:cs typeface="Times New Roman" pitchFamily="18" charset="0"/>
            </a:rPr>
            <a:t>Efecto 1</a:t>
          </a:r>
          <a:r>
            <a:rPr lang="es-CO" sz="900" b="1" kern="1200">
              <a:solidFill>
                <a:srgbClr val="FF0000"/>
              </a:solidFill>
              <a:latin typeface="Times New Roman" pitchFamily="18" charset="0"/>
              <a:cs typeface="Times New Roman" pitchFamily="18" charset="0"/>
            </a:rPr>
            <a:t> </a:t>
          </a:r>
          <a:r>
            <a:rPr lang="es-CO" sz="900" kern="1200">
              <a:solidFill>
                <a:schemeClr val="tx1"/>
              </a:solidFill>
              <a:latin typeface="Times New Roman" pitchFamily="18" charset="0"/>
              <a:cs typeface="Times New Roman" pitchFamily="18" charset="0"/>
            </a:rPr>
            <a:t>Ciudadanos sin excelencia académica</a:t>
          </a:r>
        </a:p>
      </dsp:txBody>
      <dsp:txXfrm>
        <a:off x="329439" y="290381"/>
        <a:ext cx="848448" cy="526800"/>
      </dsp:txXfrm>
    </dsp:sp>
    <dsp:sp modelId="{33162681-1399-472C-869F-A12391C295BF}">
      <dsp:nvSpPr>
        <dsp:cNvPr id="0" name=""/>
        <dsp:cNvSpPr/>
      </dsp:nvSpPr>
      <dsp:spPr>
        <a:xfrm>
          <a:off x="1213258" y="125312"/>
          <a:ext cx="881226" cy="672647"/>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3BA1B1-3614-4186-8C49-4BC26CC0171D}">
      <dsp:nvSpPr>
        <dsp:cNvPr id="0" name=""/>
        <dsp:cNvSpPr/>
      </dsp:nvSpPr>
      <dsp:spPr>
        <a:xfrm>
          <a:off x="1311172" y="218330"/>
          <a:ext cx="881226" cy="672647"/>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Efecto2 </a:t>
          </a:r>
          <a:r>
            <a:rPr lang="es-CO" sz="900" kern="1200">
              <a:latin typeface="Times New Roman" pitchFamily="18" charset="0"/>
              <a:cs typeface="Times New Roman" pitchFamily="18" charset="0"/>
            </a:rPr>
            <a:t>Ciudadanos con bajas capacidades de comprender el mundo</a:t>
          </a:r>
        </a:p>
      </dsp:txBody>
      <dsp:txXfrm>
        <a:off x="1330873" y="238031"/>
        <a:ext cx="841824" cy="633245"/>
      </dsp:txXfrm>
    </dsp:sp>
    <dsp:sp modelId="{ED1A71E8-1E45-40CE-8FC3-7445FA401327}">
      <dsp:nvSpPr>
        <dsp:cNvPr id="0" name=""/>
        <dsp:cNvSpPr/>
      </dsp:nvSpPr>
      <dsp:spPr>
        <a:xfrm>
          <a:off x="2230310" y="268452"/>
          <a:ext cx="881226" cy="559578"/>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6243CE-6822-4846-8B79-9F6BE7398924}">
      <dsp:nvSpPr>
        <dsp:cNvPr id="0" name=""/>
        <dsp:cNvSpPr/>
      </dsp:nvSpPr>
      <dsp:spPr>
        <a:xfrm>
          <a:off x="2328224" y="361471"/>
          <a:ext cx="881226" cy="559578"/>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Efecto 3</a:t>
          </a:r>
          <a:r>
            <a:rPr lang="es-CO" sz="900" kern="1200">
              <a:latin typeface="Times New Roman" pitchFamily="18" charset="0"/>
              <a:cs typeface="Times New Roman" pitchFamily="18" charset="0"/>
            </a:rPr>
            <a:t> Ciudadanos que  no acceden a la cultura y al deporte</a:t>
          </a:r>
        </a:p>
      </dsp:txBody>
      <dsp:txXfrm>
        <a:off x="2344613" y="377860"/>
        <a:ext cx="848448" cy="526800"/>
      </dsp:txXfrm>
    </dsp:sp>
    <dsp:sp modelId="{658B89F7-B2EE-45F3-991B-F64868674945}">
      <dsp:nvSpPr>
        <dsp:cNvPr id="0" name=""/>
        <dsp:cNvSpPr/>
      </dsp:nvSpPr>
      <dsp:spPr>
        <a:xfrm>
          <a:off x="1606578" y="1010434"/>
          <a:ext cx="2302485" cy="715673"/>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AB58A4-1A79-485F-A932-CD10ABEDAC18}">
      <dsp:nvSpPr>
        <dsp:cNvPr id="0" name=""/>
        <dsp:cNvSpPr/>
      </dsp:nvSpPr>
      <dsp:spPr>
        <a:xfrm>
          <a:off x="1704492" y="1103452"/>
          <a:ext cx="2302485" cy="715673"/>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Problema  1</a:t>
          </a:r>
        </a:p>
        <a:p>
          <a:pPr lvl="0" algn="ctr" defTabSz="400050">
            <a:lnSpc>
              <a:spcPct val="90000"/>
            </a:lnSpc>
            <a:spcBef>
              <a:spcPct val="0"/>
            </a:spcBef>
            <a:spcAft>
              <a:spcPct val="35000"/>
            </a:spcAft>
          </a:pPr>
          <a:r>
            <a:rPr lang="es-CO" sz="900" kern="1200">
              <a:latin typeface="Times New Roman" pitchFamily="18" charset="0"/>
              <a:cs typeface="Times New Roman" pitchFamily="18" charset="0"/>
            </a:rPr>
            <a:t>Insuficientes conocimientos, habilidades y actitudes de la población, baja calidad del servicio educativo y elevada exclusión y desigualdades en las oportunidades educativas</a:t>
          </a:r>
        </a:p>
      </dsp:txBody>
      <dsp:txXfrm>
        <a:off x="1725453" y="1124413"/>
        <a:ext cx="2260563" cy="673751"/>
      </dsp:txXfrm>
    </dsp:sp>
    <dsp:sp modelId="{5EE83815-CB34-4FB9-8479-DC978933F703}">
      <dsp:nvSpPr>
        <dsp:cNvPr id="0" name=""/>
        <dsp:cNvSpPr/>
      </dsp:nvSpPr>
      <dsp:spPr>
        <a:xfrm>
          <a:off x="1649375" y="1999123"/>
          <a:ext cx="2216891" cy="677241"/>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543E5A-8F84-423D-B500-2A0B279572E5}">
      <dsp:nvSpPr>
        <dsp:cNvPr id="0" name=""/>
        <dsp:cNvSpPr/>
      </dsp:nvSpPr>
      <dsp:spPr>
        <a:xfrm>
          <a:off x="1747289" y="2092141"/>
          <a:ext cx="2216891" cy="67724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Problema 2</a:t>
          </a:r>
          <a:r>
            <a:rPr lang="es-CO" sz="900" kern="1200">
              <a:latin typeface="Times New Roman" pitchFamily="18" charset="0"/>
              <a:cs typeface="Times New Roman" pitchFamily="18" charset="0"/>
            </a:rPr>
            <a:t> </a:t>
          </a:r>
        </a:p>
        <a:p>
          <a:pPr lvl="0" algn="ctr" defTabSz="400050">
            <a:lnSpc>
              <a:spcPct val="90000"/>
            </a:lnSpc>
            <a:spcBef>
              <a:spcPct val="0"/>
            </a:spcBef>
            <a:spcAft>
              <a:spcPct val="35000"/>
            </a:spcAft>
          </a:pPr>
          <a:r>
            <a:rPr lang="es-CO" sz="900" kern="1200">
              <a:latin typeface="Times New Roman" pitchFamily="18" charset="0"/>
              <a:cs typeface="Times New Roman" pitchFamily="18" charset="0"/>
            </a:rPr>
            <a:t>Insuficiente acceso y permanencia  de la población de menores ingresos</a:t>
          </a:r>
        </a:p>
      </dsp:txBody>
      <dsp:txXfrm>
        <a:off x="1767125" y="2111977"/>
        <a:ext cx="2177219" cy="637569"/>
      </dsp:txXfrm>
    </dsp:sp>
    <dsp:sp modelId="{B5F30336-6C9C-4DB7-BB45-DC15294F33F3}">
      <dsp:nvSpPr>
        <dsp:cNvPr id="0" name=""/>
        <dsp:cNvSpPr/>
      </dsp:nvSpPr>
      <dsp:spPr>
        <a:xfrm>
          <a:off x="121" y="3026160"/>
          <a:ext cx="881226" cy="816005"/>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111A0B-BBBF-49C2-AC8C-F111EA032954}">
      <dsp:nvSpPr>
        <dsp:cNvPr id="0" name=""/>
        <dsp:cNvSpPr/>
      </dsp:nvSpPr>
      <dsp:spPr>
        <a:xfrm>
          <a:off x="98035" y="3119178"/>
          <a:ext cx="881226" cy="816005"/>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Causa 1</a:t>
          </a:r>
          <a:r>
            <a:rPr lang="es-CO" sz="900" kern="1200">
              <a:latin typeface="Times New Roman" pitchFamily="18" charset="0"/>
              <a:cs typeface="Times New Roman" pitchFamily="18" charset="0"/>
            </a:rPr>
            <a:t> Bajo nivel de ingreso de la población, y </a:t>
          </a:r>
          <a:r>
            <a:rPr lang="es-CO" sz="900" kern="1200">
              <a:solidFill>
                <a:schemeClr val="tx1"/>
              </a:solidFill>
              <a:latin typeface="Times New Roman" pitchFamily="18" charset="0"/>
              <a:cs typeface="Times New Roman" pitchFamily="18" charset="0"/>
            </a:rPr>
            <a:t>dificultades para la permanencia</a:t>
          </a:r>
          <a:endParaRPr lang="es-CO" sz="900" kern="1200">
            <a:latin typeface="Times New Roman" pitchFamily="18" charset="0"/>
            <a:cs typeface="Times New Roman" pitchFamily="18" charset="0"/>
          </a:endParaRPr>
        </a:p>
      </dsp:txBody>
      <dsp:txXfrm>
        <a:off x="121935" y="3143078"/>
        <a:ext cx="833426" cy="768205"/>
      </dsp:txXfrm>
    </dsp:sp>
    <dsp:sp modelId="{1F4E2523-0B26-4894-95D3-97AFF2D48FA9}">
      <dsp:nvSpPr>
        <dsp:cNvPr id="0" name=""/>
        <dsp:cNvSpPr/>
      </dsp:nvSpPr>
      <dsp:spPr>
        <a:xfrm>
          <a:off x="121" y="4098455"/>
          <a:ext cx="881226" cy="1694974"/>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528D63-55E7-4DAF-A822-99165EA04A5C}">
      <dsp:nvSpPr>
        <dsp:cNvPr id="0" name=""/>
        <dsp:cNvSpPr/>
      </dsp:nvSpPr>
      <dsp:spPr>
        <a:xfrm>
          <a:off x="98035" y="4191474"/>
          <a:ext cx="881226" cy="169497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imes New Roman" pitchFamily="18" charset="0"/>
              <a:cs typeface="Times New Roman" pitchFamily="18" charset="0"/>
            </a:rPr>
            <a:t>1.1. Oferta oficial insuficiente 1.2. Infraestructura insuficiente 1.3. Incentivos en alimentación escolar, transporte, etc. insuficientes 1.4. Limitaciones en la gestión de la matrícula</a:t>
          </a:r>
        </a:p>
      </dsp:txBody>
      <dsp:txXfrm>
        <a:off x="123845" y="4217284"/>
        <a:ext cx="829606" cy="1643354"/>
      </dsp:txXfrm>
    </dsp:sp>
    <dsp:sp modelId="{9237A020-0599-4812-B18D-942DDEC0B660}">
      <dsp:nvSpPr>
        <dsp:cNvPr id="0" name=""/>
        <dsp:cNvSpPr/>
      </dsp:nvSpPr>
      <dsp:spPr>
        <a:xfrm>
          <a:off x="1077175" y="3026160"/>
          <a:ext cx="881226" cy="1202881"/>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2BB23D-37BD-4799-8500-3F1198EF4911}">
      <dsp:nvSpPr>
        <dsp:cNvPr id="0" name=""/>
        <dsp:cNvSpPr/>
      </dsp:nvSpPr>
      <dsp:spPr>
        <a:xfrm>
          <a:off x="1175089" y="3119178"/>
          <a:ext cx="881226" cy="120288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Causa 2 </a:t>
          </a:r>
          <a:r>
            <a:rPr lang="es-CO" sz="900" kern="1200">
              <a:latin typeface="Times New Roman" pitchFamily="18" charset="0"/>
              <a:cs typeface="Times New Roman" pitchFamily="18" charset="0"/>
            </a:rPr>
            <a:t>Servicio educativo con prácticas pedagógicas limitadas jornada insuficiente y currículo desarticulado</a:t>
          </a:r>
          <a:endParaRPr lang="es-CO" sz="900" kern="1200">
            <a:solidFill>
              <a:schemeClr val="tx1"/>
            </a:solidFill>
            <a:latin typeface="Times New Roman" pitchFamily="18" charset="0"/>
            <a:cs typeface="Times New Roman" pitchFamily="18" charset="0"/>
          </a:endParaRPr>
        </a:p>
      </dsp:txBody>
      <dsp:txXfrm>
        <a:off x="1200899" y="3144988"/>
        <a:ext cx="829606" cy="1151261"/>
      </dsp:txXfrm>
    </dsp:sp>
    <dsp:sp modelId="{B264ED1A-FC48-4CC4-8122-28EBC2B79A59}">
      <dsp:nvSpPr>
        <dsp:cNvPr id="0" name=""/>
        <dsp:cNvSpPr/>
      </dsp:nvSpPr>
      <dsp:spPr>
        <a:xfrm>
          <a:off x="1077175" y="4485331"/>
          <a:ext cx="881226" cy="3136902"/>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064B70-C545-4B5F-A39C-0C8B03F27413}">
      <dsp:nvSpPr>
        <dsp:cNvPr id="0" name=""/>
        <dsp:cNvSpPr/>
      </dsp:nvSpPr>
      <dsp:spPr>
        <a:xfrm>
          <a:off x="1175089" y="4578349"/>
          <a:ext cx="881226" cy="313690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imes New Roman" pitchFamily="18" charset="0"/>
              <a:cs typeface="Times New Roman" pitchFamily="18" charset="0"/>
            </a:rPr>
            <a:t>2.1. Docentes con deficientes condiciones laborales, motivacionales y enfoques pedagógicos tradicionales 2.2. Estrategias pedagógicas inadecuadas 2.3. Deficiencia en pedagogía y aprendizaje de convivencia y cuidadanía 2.4. Brecha digital y del componente de ciencia y tecnología 2.5. Inequidad en los tiempos de aprendizaje 2.6. Esquemas de evaluación precarios </a:t>
          </a:r>
        </a:p>
      </dsp:txBody>
      <dsp:txXfrm>
        <a:off x="1200899" y="4604159"/>
        <a:ext cx="829606" cy="3085282"/>
      </dsp:txXfrm>
    </dsp:sp>
    <dsp:sp modelId="{38422559-A297-4BF6-9765-56A6E46B525E}">
      <dsp:nvSpPr>
        <dsp:cNvPr id="0" name=""/>
        <dsp:cNvSpPr/>
      </dsp:nvSpPr>
      <dsp:spPr>
        <a:xfrm>
          <a:off x="2154229" y="3026160"/>
          <a:ext cx="881226" cy="898795"/>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22BC7A-F732-45C6-950D-77846A0D5081}">
      <dsp:nvSpPr>
        <dsp:cNvPr id="0" name=""/>
        <dsp:cNvSpPr/>
      </dsp:nvSpPr>
      <dsp:spPr>
        <a:xfrm>
          <a:off x="2252143" y="3119178"/>
          <a:ext cx="881226" cy="898795"/>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Causa 3</a:t>
          </a:r>
          <a:r>
            <a:rPr lang="es-CO" sz="900" kern="1200">
              <a:latin typeface="Times New Roman" pitchFamily="18" charset="0"/>
              <a:cs typeface="Times New Roman" pitchFamily="18" charset="0"/>
            </a:rPr>
            <a:t> Educación media poco pertinente y desarticulada con educación superior</a:t>
          </a:r>
        </a:p>
      </dsp:txBody>
      <dsp:txXfrm>
        <a:off x="2277953" y="3144988"/>
        <a:ext cx="829606" cy="847175"/>
      </dsp:txXfrm>
    </dsp:sp>
    <dsp:sp modelId="{D41DCA14-0F2D-4C65-AC1D-C8083C73C4EC}">
      <dsp:nvSpPr>
        <dsp:cNvPr id="0" name=""/>
        <dsp:cNvSpPr/>
      </dsp:nvSpPr>
      <dsp:spPr>
        <a:xfrm>
          <a:off x="2154229" y="4181245"/>
          <a:ext cx="881226" cy="1512076"/>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C969E5-992E-4575-B6DC-FA15796D9926}">
      <dsp:nvSpPr>
        <dsp:cNvPr id="0" name=""/>
        <dsp:cNvSpPr/>
      </dsp:nvSpPr>
      <dsp:spPr>
        <a:xfrm>
          <a:off x="2252143" y="4274263"/>
          <a:ext cx="881226" cy="1512076"/>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imes New Roman" pitchFamily="18" charset="0"/>
              <a:cs typeface="Times New Roman" pitchFamily="18" charset="0"/>
            </a:rPr>
            <a:t>3.1. Currículo inadecuado  3.2. Ruptura entre educación media y superior 3.3. Oferta pública insuficiente en educación superior y financiación inadecuada</a:t>
          </a:r>
        </a:p>
      </dsp:txBody>
      <dsp:txXfrm>
        <a:off x="2277953" y="4300073"/>
        <a:ext cx="829606" cy="1460456"/>
      </dsp:txXfrm>
    </dsp:sp>
    <dsp:sp modelId="{AD07592E-D97D-4829-8629-CEC29D74EF6C}">
      <dsp:nvSpPr>
        <dsp:cNvPr id="0" name=""/>
        <dsp:cNvSpPr/>
      </dsp:nvSpPr>
      <dsp:spPr>
        <a:xfrm>
          <a:off x="3231284" y="3026160"/>
          <a:ext cx="968353" cy="1538550"/>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664A93-EC00-488B-9CDD-53907332DD1F}">
      <dsp:nvSpPr>
        <dsp:cNvPr id="0" name=""/>
        <dsp:cNvSpPr/>
      </dsp:nvSpPr>
      <dsp:spPr>
        <a:xfrm>
          <a:off x="3329198" y="3119178"/>
          <a:ext cx="968353" cy="153855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Causa 4 </a:t>
          </a:r>
          <a:r>
            <a:rPr lang="es-CO" sz="900" kern="1200">
              <a:latin typeface="Times New Roman" pitchFamily="18" charset="0"/>
              <a:cs typeface="Times New Roman" pitchFamily="18" charset="0"/>
            </a:rPr>
            <a:t>Debilidades del modelo de gestión entre niveles, precariedad de desconcentración y descentralización inadecuadas y falta claridad en seguimiento y evaluación</a:t>
          </a:r>
        </a:p>
      </dsp:txBody>
      <dsp:txXfrm>
        <a:off x="3357560" y="3147540"/>
        <a:ext cx="911629" cy="1481826"/>
      </dsp:txXfrm>
    </dsp:sp>
    <dsp:sp modelId="{07018779-EF86-4312-9209-65EEEE895ECA}">
      <dsp:nvSpPr>
        <dsp:cNvPr id="0" name=""/>
        <dsp:cNvSpPr/>
      </dsp:nvSpPr>
      <dsp:spPr>
        <a:xfrm>
          <a:off x="3274847" y="4821000"/>
          <a:ext cx="881226" cy="2669928"/>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4CAA4B-93DA-4DB8-9E7C-B5C7E5EF76A9}">
      <dsp:nvSpPr>
        <dsp:cNvPr id="0" name=""/>
        <dsp:cNvSpPr/>
      </dsp:nvSpPr>
      <dsp:spPr>
        <a:xfrm>
          <a:off x="3372761" y="4914018"/>
          <a:ext cx="881226" cy="2669928"/>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imes New Roman" pitchFamily="18" charset="0"/>
              <a:cs typeface="Times New Roman" pitchFamily="18" charset="0"/>
            </a:rPr>
            <a:t>4.1. Procesos de participación segmentados 4.2. Poco empoderamiento instituciones  4.3. Desarticulación con la gestión local 4.4. Debilidades en gestión del talento humano 4.5. Enfoque limitado de la comunicación</a:t>
          </a:r>
        </a:p>
        <a:p>
          <a:pPr lvl="0" algn="ctr" defTabSz="400050">
            <a:lnSpc>
              <a:spcPct val="90000"/>
            </a:lnSpc>
            <a:spcBef>
              <a:spcPct val="0"/>
            </a:spcBef>
            <a:spcAft>
              <a:spcPct val="35000"/>
            </a:spcAft>
          </a:pPr>
          <a:r>
            <a:rPr lang="es-CO" sz="900" kern="1200">
              <a:solidFill>
                <a:schemeClr val="tx1"/>
              </a:solidFill>
              <a:latin typeface="Times New Roman" pitchFamily="18" charset="0"/>
              <a:cs typeface="Times New Roman" pitchFamily="18" charset="0"/>
            </a:rPr>
            <a:t>4.6. Parámetros legales nacionales que limitan las políticas distritales</a:t>
          </a:r>
        </a:p>
      </dsp:txBody>
      <dsp:txXfrm>
        <a:off x="3398571" y="4939828"/>
        <a:ext cx="829606" cy="2618308"/>
      </dsp:txXfrm>
    </dsp:sp>
    <dsp:sp modelId="{4E257C34-F005-4100-BF06-5EEA0A9BA2F2}">
      <dsp:nvSpPr>
        <dsp:cNvPr id="0" name=""/>
        <dsp:cNvSpPr/>
      </dsp:nvSpPr>
      <dsp:spPr>
        <a:xfrm>
          <a:off x="4395465" y="3026160"/>
          <a:ext cx="881226" cy="559578"/>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11DB1-B2B8-4A37-A9CA-EBC51CAFF9E5}">
      <dsp:nvSpPr>
        <dsp:cNvPr id="0" name=""/>
        <dsp:cNvSpPr/>
      </dsp:nvSpPr>
      <dsp:spPr>
        <a:xfrm>
          <a:off x="4493379" y="3119178"/>
          <a:ext cx="881226" cy="559578"/>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Causa 5 </a:t>
          </a:r>
        </a:p>
        <a:p>
          <a:pPr lvl="0" algn="ctr" defTabSz="400050">
            <a:lnSpc>
              <a:spcPct val="90000"/>
            </a:lnSpc>
            <a:spcBef>
              <a:spcPct val="0"/>
            </a:spcBef>
            <a:spcAft>
              <a:spcPct val="35000"/>
            </a:spcAft>
          </a:pPr>
          <a:r>
            <a:rPr lang="es-CO" sz="900" b="0" kern="1200">
              <a:latin typeface="Times New Roman" pitchFamily="18" charset="0"/>
              <a:cs typeface="Times New Roman" pitchFamily="18" charset="0"/>
            </a:rPr>
            <a:t>Baja cobertura e integralidad en</a:t>
          </a:r>
          <a:r>
            <a:rPr lang="es-CO" sz="900" b="1" kern="1200">
              <a:latin typeface="Times New Roman" pitchFamily="18" charset="0"/>
              <a:cs typeface="Times New Roman" pitchFamily="18" charset="0"/>
            </a:rPr>
            <a:t> </a:t>
          </a:r>
          <a:r>
            <a:rPr lang="es-CO" sz="900" kern="1200">
              <a:latin typeface="Times New Roman" pitchFamily="18" charset="0"/>
              <a:cs typeface="Times New Roman" pitchFamily="18" charset="0"/>
            </a:rPr>
            <a:t>atención a la primera infancia</a:t>
          </a:r>
        </a:p>
      </dsp:txBody>
      <dsp:txXfrm>
        <a:off x="4509768" y="3135567"/>
        <a:ext cx="848448" cy="526800"/>
      </dsp:txXfrm>
    </dsp:sp>
    <dsp:sp modelId="{04D22F82-6975-4324-AD97-0801D27EE764}">
      <dsp:nvSpPr>
        <dsp:cNvPr id="0" name=""/>
        <dsp:cNvSpPr/>
      </dsp:nvSpPr>
      <dsp:spPr>
        <a:xfrm>
          <a:off x="4395465" y="3842028"/>
          <a:ext cx="881226" cy="1092980"/>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0A875B-5F41-42C2-A7BF-8B2C31AC3F09}">
      <dsp:nvSpPr>
        <dsp:cNvPr id="0" name=""/>
        <dsp:cNvSpPr/>
      </dsp:nvSpPr>
      <dsp:spPr>
        <a:xfrm>
          <a:off x="4493379" y="3935047"/>
          <a:ext cx="881226" cy="109298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imes New Roman" pitchFamily="18" charset="0"/>
              <a:cs typeface="Times New Roman" pitchFamily="18" charset="0"/>
            </a:rPr>
            <a:t>5.1. Invisibilización de la problemática de la infancia 5.2. Reducida asignación presupuestal</a:t>
          </a:r>
        </a:p>
      </dsp:txBody>
      <dsp:txXfrm>
        <a:off x="4519189" y="3960857"/>
        <a:ext cx="829606" cy="1041360"/>
      </dsp:txXfrm>
    </dsp:sp>
    <dsp:sp modelId="{B851DCAC-7567-46E1-B169-DE463500901E}">
      <dsp:nvSpPr>
        <dsp:cNvPr id="0" name=""/>
        <dsp:cNvSpPr/>
      </dsp:nvSpPr>
      <dsp:spPr>
        <a:xfrm>
          <a:off x="3274063" y="173721"/>
          <a:ext cx="1036463" cy="677241"/>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DE595A-84E4-44CF-93AD-5CA2028C83E8}">
      <dsp:nvSpPr>
        <dsp:cNvPr id="0" name=""/>
        <dsp:cNvSpPr/>
      </dsp:nvSpPr>
      <dsp:spPr>
        <a:xfrm>
          <a:off x="3371977" y="266739"/>
          <a:ext cx="1036463" cy="677241"/>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Efecto 4 </a:t>
          </a:r>
          <a:r>
            <a:rPr lang="es-CO" sz="900" kern="1200">
              <a:latin typeface="Times New Roman" pitchFamily="18" charset="0"/>
              <a:cs typeface="Times New Roman" pitchFamily="18" charset="0"/>
            </a:rPr>
            <a:t>Ciudadanos  que no reconocen la diversidad</a:t>
          </a:r>
        </a:p>
      </dsp:txBody>
      <dsp:txXfrm>
        <a:off x="3391813" y="286575"/>
        <a:ext cx="996791" cy="637569"/>
      </dsp:txXfrm>
    </dsp:sp>
    <dsp:sp modelId="{37EECCC0-6E8C-4542-87C9-ADAC0EC25AAC}">
      <dsp:nvSpPr>
        <dsp:cNvPr id="0" name=""/>
        <dsp:cNvSpPr/>
      </dsp:nvSpPr>
      <dsp:spPr>
        <a:xfrm>
          <a:off x="4427211" y="211582"/>
          <a:ext cx="881226" cy="850520"/>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1325B6-0489-4164-85EC-283DAF114C3E}">
      <dsp:nvSpPr>
        <dsp:cNvPr id="0" name=""/>
        <dsp:cNvSpPr/>
      </dsp:nvSpPr>
      <dsp:spPr>
        <a:xfrm>
          <a:off x="4525125" y="304601"/>
          <a:ext cx="881226" cy="850520"/>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Times New Roman" pitchFamily="18" charset="0"/>
              <a:cs typeface="Times New Roman" pitchFamily="18" charset="0"/>
            </a:rPr>
            <a:t>Efecto 5</a:t>
          </a:r>
          <a:r>
            <a:rPr lang="es-CO" sz="900" kern="1200">
              <a:latin typeface="Times New Roman" pitchFamily="18" charset="0"/>
              <a:cs typeface="Times New Roman" pitchFamily="18" charset="0"/>
            </a:rPr>
            <a:t> Ciudadanos con acceso inequitativo a la educación superior y al mundo laboral</a:t>
          </a:r>
        </a:p>
      </dsp:txBody>
      <dsp:txXfrm>
        <a:off x="4550036" y="329512"/>
        <a:ext cx="831404" cy="8006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96B078-6E74-4EEE-B247-7993CF4E45CA}">
      <dsp:nvSpPr>
        <dsp:cNvPr id="0" name=""/>
        <dsp:cNvSpPr/>
      </dsp:nvSpPr>
      <dsp:spPr>
        <a:xfrm>
          <a:off x="2753815" y="2312972"/>
          <a:ext cx="2037476" cy="350274"/>
        </a:xfrm>
        <a:custGeom>
          <a:avLst/>
          <a:gdLst/>
          <a:ahLst/>
          <a:cxnLst/>
          <a:rect l="0" t="0" r="0" b="0"/>
          <a:pathLst>
            <a:path>
              <a:moveTo>
                <a:pt x="0" y="0"/>
              </a:moveTo>
              <a:lnTo>
                <a:pt x="0" y="268526"/>
              </a:lnTo>
              <a:lnTo>
                <a:pt x="2037476" y="268526"/>
              </a:lnTo>
              <a:lnTo>
                <a:pt x="2037476" y="35027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C9DB39-E0C1-43E8-9552-02D83F557F92}">
      <dsp:nvSpPr>
        <dsp:cNvPr id="0" name=""/>
        <dsp:cNvSpPr/>
      </dsp:nvSpPr>
      <dsp:spPr>
        <a:xfrm>
          <a:off x="2753815" y="2312972"/>
          <a:ext cx="923378" cy="350274"/>
        </a:xfrm>
        <a:custGeom>
          <a:avLst/>
          <a:gdLst/>
          <a:ahLst/>
          <a:cxnLst/>
          <a:rect l="0" t="0" r="0" b="0"/>
          <a:pathLst>
            <a:path>
              <a:moveTo>
                <a:pt x="0" y="0"/>
              </a:moveTo>
              <a:lnTo>
                <a:pt x="0" y="268526"/>
              </a:lnTo>
              <a:lnTo>
                <a:pt x="923378" y="268526"/>
              </a:lnTo>
              <a:lnTo>
                <a:pt x="923378" y="35027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D19851-98E4-4F3C-9B41-2A5BFD89D655}">
      <dsp:nvSpPr>
        <dsp:cNvPr id="0" name=""/>
        <dsp:cNvSpPr/>
      </dsp:nvSpPr>
      <dsp:spPr>
        <a:xfrm>
          <a:off x="2598666" y="2312972"/>
          <a:ext cx="155149" cy="350274"/>
        </a:xfrm>
        <a:custGeom>
          <a:avLst/>
          <a:gdLst/>
          <a:ahLst/>
          <a:cxnLst/>
          <a:rect l="0" t="0" r="0" b="0"/>
          <a:pathLst>
            <a:path>
              <a:moveTo>
                <a:pt x="155149" y="0"/>
              </a:moveTo>
              <a:lnTo>
                <a:pt x="155149" y="268526"/>
              </a:lnTo>
              <a:lnTo>
                <a:pt x="0" y="268526"/>
              </a:lnTo>
              <a:lnTo>
                <a:pt x="0" y="35027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292D1-C580-4DBC-A05C-CC160B9D8C79}">
      <dsp:nvSpPr>
        <dsp:cNvPr id="0" name=""/>
        <dsp:cNvSpPr/>
      </dsp:nvSpPr>
      <dsp:spPr>
        <a:xfrm>
          <a:off x="1520138" y="2312972"/>
          <a:ext cx="1233676" cy="350274"/>
        </a:xfrm>
        <a:custGeom>
          <a:avLst/>
          <a:gdLst/>
          <a:ahLst/>
          <a:cxnLst/>
          <a:rect l="0" t="0" r="0" b="0"/>
          <a:pathLst>
            <a:path>
              <a:moveTo>
                <a:pt x="1233676" y="0"/>
              </a:moveTo>
              <a:lnTo>
                <a:pt x="1233676" y="268526"/>
              </a:lnTo>
              <a:lnTo>
                <a:pt x="0" y="268526"/>
              </a:lnTo>
              <a:lnTo>
                <a:pt x="0" y="35027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3BAE5F-DEEB-4EF4-84FC-113FD02B238D}">
      <dsp:nvSpPr>
        <dsp:cNvPr id="0" name=""/>
        <dsp:cNvSpPr/>
      </dsp:nvSpPr>
      <dsp:spPr>
        <a:xfrm>
          <a:off x="441610" y="2312972"/>
          <a:ext cx="2312204" cy="350274"/>
        </a:xfrm>
        <a:custGeom>
          <a:avLst/>
          <a:gdLst/>
          <a:ahLst/>
          <a:cxnLst/>
          <a:rect l="0" t="0" r="0" b="0"/>
          <a:pathLst>
            <a:path>
              <a:moveTo>
                <a:pt x="2312204" y="0"/>
              </a:moveTo>
              <a:lnTo>
                <a:pt x="2312204" y="268526"/>
              </a:lnTo>
              <a:lnTo>
                <a:pt x="0" y="268526"/>
              </a:lnTo>
              <a:lnTo>
                <a:pt x="0" y="35027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87E105-54A0-43F8-8929-DB25BA6D9678}">
      <dsp:nvSpPr>
        <dsp:cNvPr id="0" name=""/>
        <dsp:cNvSpPr/>
      </dsp:nvSpPr>
      <dsp:spPr>
        <a:xfrm>
          <a:off x="2708095" y="1568821"/>
          <a:ext cx="91440" cy="273389"/>
        </a:xfrm>
        <a:custGeom>
          <a:avLst/>
          <a:gdLst/>
          <a:ahLst/>
          <a:cxnLst/>
          <a:rect l="0" t="0" r="0" b="0"/>
          <a:pathLst>
            <a:path>
              <a:moveTo>
                <a:pt x="45720" y="0"/>
              </a:moveTo>
              <a:lnTo>
                <a:pt x="45720" y="273389"/>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739EFB-8BD4-4A12-AB85-420B957D0A10}">
      <dsp:nvSpPr>
        <dsp:cNvPr id="0" name=""/>
        <dsp:cNvSpPr/>
      </dsp:nvSpPr>
      <dsp:spPr>
        <a:xfrm>
          <a:off x="2663770" y="658908"/>
          <a:ext cx="91440" cy="182781"/>
        </a:xfrm>
        <a:custGeom>
          <a:avLst/>
          <a:gdLst/>
          <a:ahLst/>
          <a:cxnLst/>
          <a:rect l="0" t="0" r="0" b="0"/>
          <a:pathLst>
            <a:path>
              <a:moveTo>
                <a:pt x="45720" y="0"/>
              </a:moveTo>
              <a:lnTo>
                <a:pt x="45720" y="101034"/>
              </a:lnTo>
              <a:lnTo>
                <a:pt x="90044" y="101034"/>
              </a:lnTo>
              <a:lnTo>
                <a:pt x="90044" y="182781"/>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D753D325-B670-4FBB-9B31-6C1BB204807F}">
      <dsp:nvSpPr>
        <dsp:cNvPr id="0" name=""/>
        <dsp:cNvSpPr/>
      </dsp:nvSpPr>
      <dsp:spPr>
        <a:xfrm>
          <a:off x="171480" y="136191"/>
          <a:ext cx="882431" cy="56034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2CEAA3-4FC7-4463-9018-B3D823EA9DC1}">
      <dsp:nvSpPr>
        <dsp:cNvPr id="0" name=""/>
        <dsp:cNvSpPr/>
      </dsp:nvSpPr>
      <dsp:spPr>
        <a:xfrm>
          <a:off x="269528" y="229337"/>
          <a:ext cx="882431" cy="560344"/>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Finalidad 1 Ciudadanos  con excelencia académica</a:t>
          </a:r>
        </a:p>
      </dsp:txBody>
      <dsp:txXfrm>
        <a:off x="285940" y="245749"/>
        <a:ext cx="849607" cy="527520"/>
      </dsp:txXfrm>
    </dsp:sp>
    <dsp:sp modelId="{33162681-1399-472C-869F-A12391C295BF}">
      <dsp:nvSpPr>
        <dsp:cNvPr id="0" name=""/>
        <dsp:cNvSpPr/>
      </dsp:nvSpPr>
      <dsp:spPr>
        <a:xfrm>
          <a:off x="1211181" y="126716"/>
          <a:ext cx="882431" cy="56034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3BA1B1-3614-4186-8C49-4BC26CC0171D}">
      <dsp:nvSpPr>
        <dsp:cNvPr id="0" name=""/>
        <dsp:cNvSpPr/>
      </dsp:nvSpPr>
      <dsp:spPr>
        <a:xfrm>
          <a:off x="1309229" y="219862"/>
          <a:ext cx="882431" cy="560344"/>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Finalidad 2 Ciudadanos con capacidad para comprender el mundo</a:t>
          </a:r>
        </a:p>
      </dsp:txBody>
      <dsp:txXfrm>
        <a:off x="1325641" y="236274"/>
        <a:ext cx="849607" cy="527520"/>
      </dsp:txXfrm>
    </dsp:sp>
    <dsp:sp modelId="{ED1A71E8-1E45-40CE-8FC3-7445FA401327}">
      <dsp:nvSpPr>
        <dsp:cNvPr id="0" name=""/>
        <dsp:cNvSpPr/>
      </dsp:nvSpPr>
      <dsp:spPr>
        <a:xfrm>
          <a:off x="2268274" y="98564"/>
          <a:ext cx="882431" cy="56034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6243CE-6822-4846-8B79-9F6BE7398924}">
      <dsp:nvSpPr>
        <dsp:cNvPr id="0" name=""/>
        <dsp:cNvSpPr/>
      </dsp:nvSpPr>
      <dsp:spPr>
        <a:xfrm>
          <a:off x="2366322" y="191710"/>
          <a:ext cx="882431" cy="560344"/>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Finalidad 3 Ciudadanos que acceden a la cultura y al deporte</a:t>
          </a:r>
        </a:p>
      </dsp:txBody>
      <dsp:txXfrm>
        <a:off x="2382734" y="208122"/>
        <a:ext cx="849607" cy="527520"/>
      </dsp:txXfrm>
    </dsp:sp>
    <dsp:sp modelId="{658B89F7-B2EE-45F3-991B-F64868674945}">
      <dsp:nvSpPr>
        <dsp:cNvPr id="0" name=""/>
        <dsp:cNvSpPr/>
      </dsp:nvSpPr>
      <dsp:spPr>
        <a:xfrm>
          <a:off x="1600997" y="841690"/>
          <a:ext cx="2305635" cy="727130"/>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AB58A4-1A79-485F-A932-CD10ABEDAC18}">
      <dsp:nvSpPr>
        <dsp:cNvPr id="0" name=""/>
        <dsp:cNvSpPr/>
      </dsp:nvSpPr>
      <dsp:spPr>
        <a:xfrm>
          <a:off x="1699045" y="934836"/>
          <a:ext cx="2305635" cy="72713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Objetivo 1 Mejorar conocimientos, habilidades, competencias y actitudes de la población y reducir sustancialmente la exclusión y las desigualdades en las oportunidades educativas</a:t>
          </a:r>
        </a:p>
      </dsp:txBody>
      <dsp:txXfrm>
        <a:off x="1720342" y="956133"/>
        <a:ext cx="2263041" cy="684536"/>
      </dsp:txXfrm>
    </dsp:sp>
    <dsp:sp modelId="{5EE83815-CB34-4FB9-8479-DC978933F703}">
      <dsp:nvSpPr>
        <dsp:cNvPr id="0" name=""/>
        <dsp:cNvSpPr/>
      </dsp:nvSpPr>
      <dsp:spPr>
        <a:xfrm>
          <a:off x="1643852" y="1842210"/>
          <a:ext cx="2219924" cy="470761"/>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543E5A-8F84-423D-B500-2A0B279572E5}">
      <dsp:nvSpPr>
        <dsp:cNvPr id="0" name=""/>
        <dsp:cNvSpPr/>
      </dsp:nvSpPr>
      <dsp:spPr>
        <a:xfrm>
          <a:off x="1741900" y="1935355"/>
          <a:ext cx="2219924" cy="47076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Objetivos 2: Garantizar  acceso y permanencia</a:t>
          </a:r>
        </a:p>
      </dsp:txBody>
      <dsp:txXfrm>
        <a:off x="1755688" y="1949143"/>
        <a:ext cx="2192348" cy="443185"/>
      </dsp:txXfrm>
    </dsp:sp>
    <dsp:sp modelId="{B5F30336-6C9C-4DB7-BB45-DC15294F33F3}">
      <dsp:nvSpPr>
        <dsp:cNvPr id="0" name=""/>
        <dsp:cNvSpPr/>
      </dsp:nvSpPr>
      <dsp:spPr>
        <a:xfrm>
          <a:off x="394" y="2663246"/>
          <a:ext cx="882431" cy="899010"/>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111A0B-BBBF-49C2-AC8C-F111EA032954}">
      <dsp:nvSpPr>
        <dsp:cNvPr id="0" name=""/>
        <dsp:cNvSpPr/>
      </dsp:nvSpPr>
      <dsp:spPr>
        <a:xfrm>
          <a:off x="98442" y="2756391"/>
          <a:ext cx="882431" cy="89901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Objetivo específico 1 Garantizar el derecho con calidad, gratuidad y permanencia</a:t>
          </a:r>
        </a:p>
      </dsp:txBody>
      <dsp:txXfrm>
        <a:off x="124288" y="2782237"/>
        <a:ext cx="830739" cy="847318"/>
      </dsp:txXfrm>
    </dsp:sp>
    <dsp:sp modelId="{9237A020-0599-4812-B18D-942DDEC0B660}">
      <dsp:nvSpPr>
        <dsp:cNvPr id="0" name=""/>
        <dsp:cNvSpPr/>
      </dsp:nvSpPr>
      <dsp:spPr>
        <a:xfrm>
          <a:off x="1078922" y="2663246"/>
          <a:ext cx="882431" cy="1348922"/>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2BB23D-37BD-4799-8500-3F1198EF4911}">
      <dsp:nvSpPr>
        <dsp:cNvPr id="0" name=""/>
        <dsp:cNvSpPr/>
      </dsp:nvSpPr>
      <dsp:spPr>
        <a:xfrm>
          <a:off x="1176970" y="2756391"/>
          <a:ext cx="882431" cy="134892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Objetivo específico 2 Jornada educativa de 40 horas para la excelencia académica y la formación integral</a:t>
          </a:r>
        </a:p>
      </dsp:txBody>
      <dsp:txXfrm>
        <a:off x="1202816" y="2782237"/>
        <a:ext cx="830739" cy="1297230"/>
      </dsp:txXfrm>
    </dsp:sp>
    <dsp:sp modelId="{38422559-A297-4BF6-9765-56A6E46B525E}">
      <dsp:nvSpPr>
        <dsp:cNvPr id="0" name=""/>
        <dsp:cNvSpPr/>
      </dsp:nvSpPr>
      <dsp:spPr>
        <a:xfrm>
          <a:off x="2157450" y="2663246"/>
          <a:ext cx="882431" cy="1573670"/>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22BC7A-F732-45C6-950D-77846A0D5081}">
      <dsp:nvSpPr>
        <dsp:cNvPr id="0" name=""/>
        <dsp:cNvSpPr/>
      </dsp:nvSpPr>
      <dsp:spPr>
        <a:xfrm>
          <a:off x="2255498" y="2756391"/>
          <a:ext cx="882431" cy="157367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Objetivo específico 3 Educación inicial diferencial, inclusiva y de calidad para disfrutar y  aprender desde la primera infancia</a:t>
          </a:r>
        </a:p>
      </dsp:txBody>
      <dsp:txXfrm>
        <a:off x="2281344" y="2782237"/>
        <a:ext cx="830739" cy="1521978"/>
      </dsp:txXfrm>
    </dsp:sp>
    <dsp:sp modelId="{AD07592E-D97D-4829-8629-CEC29D74EF6C}">
      <dsp:nvSpPr>
        <dsp:cNvPr id="0" name=""/>
        <dsp:cNvSpPr/>
      </dsp:nvSpPr>
      <dsp:spPr>
        <a:xfrm>
          <a:off x="3235977" y="2663246"/>
          <a:ext cx="882431" cy="1174985"/>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664A93-EC00-488B-9CDD-53907332DD1F}">
      <dsp:nvSpPr>
        <dsp:cNvPr id="0" name=""/>
        <dsp:cNvSpPr/>
      </dsp:nvSpPr>
      <dsp:spPr>
        <a:xfrm>
          <a:off x="3334025" y="2756391"/>
          <a:ext cx="882431" cy="1174985"/>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Objetivo específico 4 Educación media fortalecida y mayor acceso a educación superior</a:t>
          </a:r>
        </a:p>
      </dsp:txBody>
      <dsp:txXfrm>
        <a:off x="3359871" y="2782237"/>
        <a:ext cx="830739" cy="1123293"/>
      </dsp:txXfrm>
    </dsp:sp>
    <dsp:sp modelId="{4E257C34-F005-4100-BF06-5EEA0A9BA2F2}">
      <dsp:nvSpPr>
        <dsp:cNvPr id="0" name=""/>
        <dsp:cNvSpPr/>
      </dsp:nvSpPr>
      <dsp:spPr>
        <a:xfrm>
          <a:off x="4314505" y="2663246"/>
          <a:ext cx="953573" cy="1966270"/>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11DB1-B2B8-4A37-A9CA-EBC51CAFF9E5}">
      <dsp:nvSpPr>
        <dsp:cNvPr id="0" name=""/>
        <dsp:cNvSpPr/>
      </dsp:nvSpPr>
      <dsp:spPr>
        <a:xfrm>
          <a:off x="4412553" y="2756391"/>
          <a:ext cx="953573" cy="196627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Objetivo específico 5 Fortalecimiento de las instituciones educativas, con empoderamiento ciudadano, docente y mejoramiento de la gestión sectorial</a:t>
          </a:r>
        </a:p>
      </dsp:txBody>
      <dsp:txXfrm>
        <a:off x="4440482" y="2784320"/>
        <a:ext cx="897715" cy="1910412"/>
      </dsp:txXfrm>
    </dsp:sp>
    <dsp:sp modelId="{B851DCAC-7567-46E1-B169-DE463500901E}">
      <dsp:nvSpPr>
        <dsp:cNvPr id="0" name=""/>
        <dsp:cNvSpPr/>
      </dsp:nvSpPr>
      <dsp:spPr>
        <a:xfrm>
          <a:off x="3286408" y="32253"/>
          <a:ext cx="1037880" cy="630936"/>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DE595A-84E4-44CF-93AD-5CA2028C83E8}">
      <dsp:nvSpPr>
        <dsp:cNvPr id="0" name=""/>
        <dsp:cNvSpPr/>
      </dsp:nvSpPr>
      <dsp:spPr>
        <a:xfrm>
          <a:off x="3384456" y="125399"/>
          <a:ext cx="1037880" cy="630936"/>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Finalidad 4 Ciudadanos conscientes de la diversidad</a:t>
          </a:r>
        </a:p>
      </dsp:txBody>
      <dsp:txXfrm>
        <a:off x="3402935" y="143878"/>
        <a:ext cx="1000922" cy="593978"/>
      </dsp:txXfrm>
    </dsp:sp>
    <dsp:sp modelId="{37EECCC0-6E8C-4542-87C9-ADAC0EC25AAC}">
      <dsp:nvSpPr>
        <dsp:cNvPr id="0" name=""/>
        <dsp:cNvSpPr/>
      </dsp:nvSpPr>
      <dsp:spPr>
        <a:xfrm>
          <a:off x="4451317" y="79899"/>
          <a:ext cx="882431" cy="960396"/>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1325B6-0489-4164-85EC-283DAF114C3E}">
      <dsp:nvSpPr>
        <dsp:cNvPr id="0" name=""/>
        <dsp:cNvSpPr/>
      </dsp:nvSpPr>
      <dsp:spPr>
        <a:xfrm>
          <a:off x="4549365" y="173045"/>
          <a:ext cx="882431" cy="960396"/>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itchFamily="18" charset="0"/>
              <a:cs typeface="Times New Roman" pitchFamily="18" charset="0"/>
            </a:rPr>
            <a:t>Finalidad 5 Ciudadanos con acceso equitativo a la educación superior y al mundo laboral</a:t>
          </a:r>
        </a:p>
      </dsp:txBody>
      <dsp:txXfrm>
        <a:off x="4575211" y="198891"/>
        <a:ext cx="830739" cy="9087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0.18237</cdr:x>
      <cdr:y>0.93479</cdr:y>
    </cdr:from>
    <cdr:to>
      <cdr:x>0.86626</cdr:x>
      <cdr:y>1</cdr:y>
    </cdr:to>
    <cdr:sp macro="" textlink="">
      <cdr:nvSpPr>
        <cdr:cNvPr id="2" name="1 CuadroTexto"/>
        <cdr:cNvSpPr txBox="1"/>
      </cdr:nvSpPr>
      <cdr:spPr>
        <a:xfrm xmlns:a="http://schemas.openxmlformats.org/drawingml/2006/main">
          <a:off x="571500" y="2662270"/>
          <a:ext cx="2143126" cy="185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t>        2008              2009            2010          2011</a:t>
          </a:r>
        </a:p>
      </cdr:txBody>
    </cdr:sp>
  </cdr:relSizeAnchor>
</c:userShapes>
</file>

<file path=word/drawings/drawing2.xml><?xml version="1.0" encoding="utf-8"?>
<c:userShapes xmlns:c="http://schemas.openxmlformats.org/drawingml/2006/chart">
  <cdr:relSizeAnchor xmlns:cdr="http://schemas.openxmlformats.org/drawingml/2006/chartDrawing">
    <cdr:from>
      <cdr:x>0.82375</cdr:x>
      <cdr:y>0.80523</cdr:y>
    </cdr:from>
    <cdr:to>
      <cdr:x>0.98233</cdr:x>
      <cdr:y>0.88261</cdr:y>
    </cdr:to>
    <cdr:sp macro="" textlink="">
      <cdr:nvSpPr>
        <cdr:cNvPr id="2" name="1 CuadroTexto"/>
        <cdr:cNvSpPr txBox="1"/>
      </cdr:nvSpPr>
      <cdr:spPr>
        <a:xfrm xmlns:a="http://schemas.openxmlformats.org/drawingml/2006/main">
          <a:off x="3828939" y="1649016"/>
          <a:ext cx="737109" cy="1584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CO" sz="600"/>
            <a:t>100% </a:t>
          </a:r>
          <a:r>
            <a:rPr lang="es-ES" sz="600">
              <a:latin typeface="+mn-lt"/>
              <a:ea typeface="+mn-ea"/>
              <a:cs typeface="+mn-cs"/>
            </a:rPr>
            <a:t>de los colegios libres de discriminación</a:t>
          </a:r>
          <a:r>
            <a:rPr lang="es-CO" sz="600"/>
            <a:t> </a:t>
          </a:r>
        </a:p>
      </cdr:txBody>
    </cdr:sp>
  </cdr:relSizeAnchor>
</c:userShapes>
</file>

<file path=word/drawings/drawing3.xml><?xml version="1.0" encoding="utf-8"?>
<c:userShapes xmlns:c="http://schemas.openxmlformats.org/drawingml/2006/chart">
  <cdr:relSizeAnchor xmlns:cdr="http://schemas.openxmlformats.org/drawingml/2006/chartDrawing">
    <cdr:from>
      <cdr:x>3.03577E-17</cdr:x>
      <cdr:y>0.0163</cdr:y>
    </cdr:from>
    <cdr:to>
      <cdr:x>1</cdr:x>
      <cdr:y>0.1087</cdr:y>
    </cdr:to>
    <cdr:sp macro="" textlink="">
      <cdr:nvSpPr>
        <cdr:cNvPr id="2" name="1 CuadroTexto"/>
        <cdr:cNvSpPr txBox="1"/>
      </cdr:nvSpPr>
      <cdr:spPr>
        <a:xfrm xmlns:a="http://schemas.openxmlformats.org/drawingml/2006/main">
          <a:off x="28575" y="57151"/>
          <a:ext cx="5181601"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Arial Black" pitchFamily="34" charset="0"/>
            </a:rPr>
            <a:t>METAS</a:t>
          </a:r>
          <a:r>
            <a:rPr lang="en-US" sz="1200" b="1" baseline="0">
              <a:latin typeface="Arial Black" pitchFamily="34" charset="0"/>
            </a:rPr>
            <a:t> MOVILIDAD ESCOLAR EN BOGOTÁ HUMANA</a:t>
          </a:r>
          <a:endParaRPr lang="en-US" sz="1200" b="1">
            <a:latin typeface="Arial Black"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09297-F77E-4936-A058-7CAE7B2F3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31690</Words>
  <Characters>174301</Characters>
  <Application>Microsoft Office Word</Application>
  <DocSecurity>0</DocSecurity>
  <Lines>1452</Lines>
  <Paragraphs>411</Paragraphs>
  <ScaleCrop>false</ScaleCrop>
  <HeadingPairs>
    <vt:vector size="6" baseType="variant">
      <vt:variant>
        <vt:lpstr>Título</vt:lpstr>
      </vt:variant>
      <vt:variant>
        <vt:i4>1</vt:i4>
      </vt:variant>
      <vt:variant>
        <vt:lpstr>Title</vt:lpstr>
      </vt:variant>
      <vt:variant>
        <vt:i4>1</vt:i4>
      </vt:variant>
      <vt:variant>
        <vt:lpstr>Headings</vt:lpstr>
      </vt:variant>
      <vt:variant>
        <vt:i4>22</vt:i4>
      </vt:variant>
    </vt:vector>
  </HeadingPairs>
  <TitlesOfParts>
    <vt:vector size="24" baseType="lpstr">
      <vt:lpstr/>
      <vt:lpstr/>
      <vt:lpstr>PRESENTACIÓN</vt:lpstr>
      <vt:lpstr>1. MARCO GENERAL DE LA POLÍTICA DE EDUCACIÓN </vt:lpstr>
      <vt:lpstr>    1.1. Calidad con equidad: la educación para la excelencia académica y la formaci</vt:lpstr>
      <vt:lpstr>    1.2. El derecho a la educación en Colombia</vt:lpstr>
      <vt:lpstr>    1.3. Las dimensiones de la educación y del servicio educativo</vt:lpstr>
      <vt:lpstr>    1.4. Las competencias del Distrito como entidad territorial</vt:lpstr>
      <vt:lpstr>    1.5. La gestión pública participativa en el sector educativo</vt:lpstr>
      <vt:lpstr>2. DIAGNÓSTICO </vt:lpstr>
      <vt:lpstr>        2.1. Los problemas de largo plazo de la educación en Bogotá</vt:lpstr>
      <vt:lpstr>        2.2. Problemas centrales</vt:lpstr>
      <vt:lpstr>        2.2.1. Acceso amplio en primaria y secundaria pero deficiencias en los otros niv</vt:lpstr>
      <vt:lpstr/>
      <vt:lpstr/>
      <vt:lpstr>        2.2.2. Acceso a servicios de educación de baja calidad</vt:lpstr>
      <vt:lpstr>        2.2.3.  Desigualdades y exclusión</vt:lpstr>
      <vt:lpstr>        Las desigualdades sociales</vt:lpstr>
      <vt:lpstr>        Las desigualdades territoriales </vt:lpstr>
      <vt:lpstr>        Las desigualdades entre colegios públicos y privados</vt:lpstr>
      <vt:lpstr>        Las diferencias entre los colegios oficiales</vt:lpstr>
      <vt:lpstr>        2.2.4. Limitaciones en la gestión</vt:lpstr>
      <vt:lpstr>    2.3. Causas o factores incidentes en los problemas</vt:lpstr>
      <vt:lpstr>        2.3.1. Las causas específicas que limitan el acceso y la permanencia en el siste</vt:lpstr>
    </vt:vector>
  </TitlesOfParts>
  <Company>Independiente</Company>
  <LinksUpToDate>false</LinksUpToDate>
  <CharactersWithSpaces>205580</CharactersWithSpaces>
  <SharedDoc>false</SharedDoc>
  <HLinks>
    <vt:vector size="42" baseType="variant">
      <vt:variant>
        <vt:i4>7471119</vt:i4>
      </vt:variant>
      <vt:variant>
        <vt:i4>18</vt:i4>
      </vt:variant>
      <vt:variant>
        <vt:i4>0</vt:i4>
      </vt:variant>
      <vt:variant>
        <vt:i4>5</vt:i4>
      </vt:variant>
      <vt:variant>
        <vt:lpwstr>http://www.kienyke.com/kien-bloguea/una-gente-muy-rara/</vt:lpwstr>
      </vt:variant>
      <vt:variant>
        <vt:lpwstr/>
      </vt:variant>
      <vt:variant>
        <vt:i4>2621548</vt:i4>
      </vt:variant>
      <vt:variant>
        <vt:i4>15</vt:i4>
      </vt:variant>
      <vt:variant>
        <vt:i4>0</vt:i4>
      </vt:variant>
      <vt:variant>
        <vt:i4>5</vt:i4>
      </vt:variant>
      <vt:variant>
        <vt:lpwstr>http://www.sedbogota.edu.co/archivos/Educacion_inicial/2012/ANEXO  Primera infancia.pdf</vt:lpwstr>
      </vt:variant>
      <vt:variant>
        <vt:lpwstr/>
      </vt:variant>
      <vt:variant>
        <vt:i4>4587540</vt:i4>
      </vt:variant>
      <vt:variant>
        <vt:i4>12</vt:i4>
      </vt:variant>
      <vt:variant>
        <vt:i4>0</vt:i4>
      </vt:variant>
      <vt:variant>
        <vt:i4>5</vt:i4>
      </vt:variant>
      <vt:variant>
        <vt:lpwstr>http://www.eluniversal.com.co/cartagena/educacion/estudiantes-colombianos-se-rajan-en-pruebas-pisa-10933</vt:lpwstr>
      </vt:variant>
      <vt:variant>
        <vt:lpwstr/>
      </vt:variant>
      <vt:variant>
        <vt:i4>5308425</vt:i4>
      </vt:variant>
      <vt:variant>
        <vt:i4>9</vt:i4>
      </vt:variant>
      <vt:variant>
        <vt:i4>0</vt:i4>
      </vt:variant>
      <vt:variant>
        <vt:i4>5</vt:i4>
      </vt:variant>
      <vt:variant>
        <vt:lpwstr>http://www.alcaldiabogota.gov.co/sisjur/normas/Norma1.jsp?i=20854</vt:lpwstr>
      </vt:variant>
      <vt:variant>
        <vt:lpwstr>0</vt:lpwstr>
      </vt:variant>
      <vt:variant>
        <vt:i4>4849668</vt:i4>
      </vt:variant>
      <vt:variant>
        <vt:i4>6</vt:i4>
      </vt:variant>
      <vt:variant>
        <vt:i4>0</vt:i4>
      </vt:variant>
      <vt:variant>
        <vt:i4>5</vt:i4>
      </vt:variant>
      <vt:variant>
        <vt:lpwstr>http://www.dnp.gov.co/Portals/0/archivos/documentos/DEE/Archivos_Economia/286.pdf</vt:lpwstr>
      </vt:variant>
      <vt:variant>
        <vt:lpwstr/>
      </vt:variant>
      <vt:variant>
        <vt:i4>4849668</vt:i4>
      </vt:variant>
      <vt:variant>
        <vt:i4>3</vt:i4>
      </vt:variant>
      <vt:variant>
        <vt:i4>0</vt:i4>
      </vt:variant>
      <vt:variant>
        <vt:i4>5</vt:i4>
      </vt:variant>
      <vt:variant>
        <vt:lpwstr>http://www.dnp.gov.co/Portals/0/archivos/documentos/DEE/Archivos_Economia/286.pdf</vt:lpwstr>
      </vt:variant>
      <vt:variant>
        <vt:lpwstr/>
      </vt:variant>
      <vt:variant>
        <vt:i4>917513</vt:i4>
      </vt:variant>
      <vt:variant>
        <vt:i4>0</vt:i4>
      </vt:variant>
      <vt:variant>
        <vt:i4>0</vt:i4>
      </vt:variant>
      <vt:variant>
        <vt:i4>5</vt:i4>
      </vt:variant>
      <vt:variant>
        <vt:lpwstr>http://unesdoc.unesco.org/images/0014/001417/141736s.pdf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Maldonado</dc:creator>
  <cp:lastModifiedBy>Usuario de Windows</cp:lastModifiedBy>
  <cp:revision>2</cp:revision>
  <cp:lastPrinted>2013-11-09T17:56:00Z</cp:lastPrinted>
  <dcterms:created xsi:type="dcterms:W3CDTF">2013-11-09T17:56:00Z</dcterms:created>
  <dcterms:modified xsi:type="dcterms:W3CDTF">2013-11-09T17:56:00Z</dcterms:modified>
</cp:coreProperties>
</file>